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74567" w14:textId="77777777" w:rsidR="00A90700" w:rsidRPr="00A77714" w:rsidRDefault="00A77714" w:rsidP="000C31E5">
      <w:pPr>
        <w:pStyle w:val="Heading1"/>
        <w:jc w:val="center"/>
        <w:rPr>
          <w:b/>
        </w:rPr>
      </w:pPr>
      <w:r w:rsidRPr="00A77714">
        <w:rPr>
          <w:b/>
        </w:rPr>
        <w:t>Chapter 1</w:t>
      </w:r>
      <w:r>
        <w:rPr>
          <w:b/>
        </w:rPr>
        <w:t>:</w:t>
      </w:r>
      <w:r w:rsidRPr="00A77714">
        <w:rPr>
          <w:b/>
        </w:rPr>
        <w:t xml:space="preserve"> Why Study Money, Banking, and Financial Markets?</w:t>
      </w:r>
    </w:p>
    <w:p w14:paraId="15BE5B89" w14:textId="77777777" w:rsidR="00F47289" w:rsidRDefault="00F47289" w:rsidP="00F47289"/>
    <w:p w14:paraId="42CA50EA" w14:textId="77777777" w:rsidR="00A77714" w:rsidRPr="00372905" w:rsidRDefault="00A77714" w:rsidP="00A77714">
      <w:pPr>
        <w:pStyle w:val="Heading2"/>
      </w:pPr>
      <w:r w:rsidRPr="00372905">
        <w:t xml:space="preserve">Chapter </w:t>
      </w:r>
      <w:r>
        <w:t>Overview and Teaching Tips</w:t>
      </w:r>
    </w:p>
    <w:p w14:paraId="668EF90C" w14:textId="77777777" w:rsidR="00A77714" w:rsidRPr="00E13AE2" w:rsidRDefault="00A77714" w:rsidP="00A77714">
      <w:pPr>
        <w:keepNext/>
        <w:keepLines/>
        <w:widowControl w:val="0"/>
        <w:rPr>
          <w:sz w:val="24"/>
          <w:szCs w:val="24"/>
        </w:rPr>
      </w:pPr>
    </w:p>
    <w:p w14:paraId="15F52B9C" w14:textId="77777777" w:rsidR="00A77714" w:rsidRPr="00E13AE2" w:rsidRDefault="00A77714" w:rsidP="00A77714">
      <w:pPr>
        <w:pStyle w:val="T1"/>
        <w:keepLines/>
        <w:widowControl w:val="0"/>
        <w:rPr>
          <w:rFonts w:ascii="Times New Roman" w:hAnsi="Times New Roman"/>
          <w:sz w:val="24"/>
          <w:szCs w:val="24"/>
        </w:rPr>
      </w:pPr>
      <w:r w:rsidRPr="00E13AE2">
        <w:rPr>
          <w:rFonts w:ascii="Times New Roman" w:hAnsi="Times New Roman"/>
          <w:sz w:val="24"/>
          <w:szCs w:val="24"/>
        </w:rPr>
        <w:t>Before embarking on a study of money, banking, and financial markets, the student must be convinced that this subject is worth studying. Chapter 1 pursues this goal in two ways. First, it shows the student that money and banking is an exciting field because it focuses on economic phenomena that affect everyday life. Second, using eight figures, this chapter encourages the student to look at data that bear on the central issues in this field. An additional purpose of Chapter 1 is to provide an overview for the entire book, previewing the topics that will be covered in later chapters, and to indicate how the book will be taught.</w:t>
      </w:r>
    </w:p>
    <w:p w14:paraId="7996C8E0" w14:textId="77777777" w:rsidR="00A77714" w:rsidRPr="00E13AE2" w:rsidRDefault="00A77714" w:rsidP="00A77714">
      <w:pPr>
        <w:pStyle w:val="T1"/>
        <w:keepLines/>
        <w:widowControl w:val="0"/>
        <w:rPr>
          <w:rFonts w:ascii="Times New Roman" w:hAnsi="Times New Roman"/>
          <w:sz w:val="24"/>
          <w:szCs w:val="24"/>
        </w:rPr>
      </w:pPr>
    </w:p>
    <w:p w14:paraId="28A524F9" w14:textId="77777777" w:rsidR="00A77714" w:rsidRPr="00E13AE2" w:rsidRDefault="00A77714" w:rsidP="00A77714">
      <w:pPr>
        <w:pStyle w:val="T2"/>
        <w:keepLines/>
        <w:widowControl w:val="0"/>
        <w:spacing w:before="0"/>
        <w:rPr>
          <w:rFonts w:ascii="Times New Roman" w:hAnsi="Times New Roman"/>
          <w:sz w:val="24"/>
          <w:szCs w:val="24"/>
        </w:rPr>
      </w:pPr>
      <w:r w:rsidRPr="00E13AE2">
        <w:rPr>
          <w:rFonts w:ascii="Times New Roman" w:hAnsi="Times New Roman"/>
          <w:sz w:val="24"/>
          <w:szCs w:val="24"/>
        </w:rPr>
        <w:t xml:space="preserve">In teaching this chapter, the most important goal should be to get the student excited about the material. </w:t>
      </w:r>
      <w:r>
        <w:rPr>
          <w:rFonts w:ascii="Times New Roman" w:hAnsi="Times New Roman"/>
          <w:sz w:val="24"/>
          <w:szCs w:val="24"/>
        </w:rPr>
        <w:t>We</w:t>
      </w:r>
      <w:r w:rsidRPr="00E13AE2">
        <w:rPr>
          <w:rFonts w:ascii="Times New Roman" w:hAnsi="Times New Roman"/>
          <w:sz w:val="24"/>
          <w:szCs w:val="24"/>
        </w:rPr>
        <w:t xml:space="preserve"> have found that talking about the data presented in the figures helps achieve this goal. Furthermore, it shows the student that the subject matter of money and banking has real-world implications that the student should care about.</w:t>
      </w:r>
    </w:p>
    <w:p w14:paraId="62883800" w14:textId="77777777" w:rsidR="00A77714" w:rsidRPr="00E13AE2" w:rsidRDefault="00A77714" w:rsidP="00A77714">
      <w:pPr>
        <w:pStyle w:val="T2"/>
        <w:keepLines/>
        <w:widowControl w:val="0"/>
        <w:spacing w:before="0"/>
        <w:rPr>
          <w:rFonts w:ascii="Times New Roman" w:hAnsi="Times New Roman"/>
          <w:sz w:val="24"/>
          <w:szCs w:val="24"/>
        </w:rPr>
      </w:pPr>
    </w:p>
    <w:p w14:paraId="1ED94626" w14:textId="77777777" w:rsidR="00A77714" w:rsidRPr="00E13AE2" w:rsidRDefault="00A77714" w:rsidP="00A77714">
      <w:pPr>
        <w:pStyle w:val="T2"/>
        <w:keepLines/>
        <w:widowControl w:val="0"/>
        <w:spacing w:before="0"/>
        <w:rPr>
          <w:rFonts w:ascii="Times New Roman" w:hAnsi="Times New Roman"/>
          <w:sz w:val="24"/>
          <w:szCs w:val="24"/>
        </w:rPr>
      </w:pPr>
      <w:r w:rsidRPr="00E13AE2">
        <w:rPr>
          <w:rFonts w:ascii="Times New Roman" w:hAnsi="Times New Roman"/>
          <w:sz w:val="24"/>
          <w:szCs w:val="24"/>
        </w:rPr>
        <w:t xml:space="preserve">The appendix to this chapter reviews concepts regarding the definitions of </w:t>
      </w:r>
      <w:r w:rsidRPr="00277920">
        <w:rPr>
          <w:rFonts w:ascii="Times New Roman" w:hAnsi="Times New Roman"/>
          <w:i/>
          <w:iCs/>
          <w:sz w:val="24"/>
          <w:szCs w:val="24"/>
        </w:rPr>
        <w:t>aggregate output</w:t>
      </w:r>
      <w:r w:rsidRPr="00E13AE2">
        <w:rPr>
          <w:rFonts w:ascii="Times New Roman" w:hAnsi="Times New Roman"/>
          <w:sz w:val="24"/>
          <w:szCs w:val="24"/>
        </w:rPr>
        <w:t xml:space="preserve">, </w:t>
      </w:r>
      <w:r w:rsidRPr="00277920">
        <w:rPr>
          <w:rFonts w:ascii="Times New Roman" w:hAnsi="Times New Roman"/>
          <w:i/>
          <w:iCs/>
          <w:sz w:val="24"/>
          <w:szCs w:val="24"/>
        </w:rPr>
        <w:t>income</w:t>
      </w:r>
      <w:r w:rsidRPr="00E13AE2">
        <w:rPr>
          <w:rFonts w:ascii="Times New Roman" w:hAnsi="Times New Roman"/>
          <w:sz w:val="24"/>
          <w:szCs w:val="24"/>
        </w:rPr>
        <w:t xml:space="preserve">, and the </w:t>
      </w:r>
      <w:r w:rsidRPr="00277920">
        <w:rPr>
          <w:rFonts w:ascii="Times New Roman" w:hAnsi="Times New Roman"/>
          <w:i/>
          <w:iCs/>
          <w:sz w:val="24"/>
          <w:szCs w:val="24"/>
        </w:rPr>
        <w:t>price level</w:t>
      </w:r>
      <w:r w:rsidRPr="00E13AE2">
        <w:rPr>
          <w:rFonts w:ascii="Times New Roman" w:hAnsi="Times New Roman"/>
          <w:sz w:val="24"/>
          <w:szCs w:val="24"/>
        </w:rPr>
        <w:t xml:space="preserve"> that the student already has seen in an economic principles course. Since these concepts are extremely important, it might be worthwhile to have your students read this appendix outside of class to jog their memories.</w:t>
      </w:r>
    </w:p>
    <w:p w14:paraId="1064D3BC" w14:textId="279D2679" w:rsidR="00A77714" w:rsidRPr="000C31E5" w:rsidRDefault="00A77714" w:rsidP="000C31E5">
      <w:pPr>
        <w:pStyle w:val="Heading2"/>
        <w:spacing w:before="0"/>
        <w:rPr>
          <w:rFonts w:ascii="Times New Roman" w:hAnsi="Times New Roman" w:cs="Times New Roman"/>
          <w:sz w:val="24"/>
          <w:szCs w:val="24"/>
        </w:rPr>
      </w:pPr>
    </w:p>
    <w:p w14:paraId="52D9B351" w14:textId="77777777" w:rsidR="000C31E5" w:rsidRPr="000C31E5" w:rsidRDefault="000C31E5" w:rsidP="000C31E5">
      <w:pPr>
        <w:rPr>
          <w:sz w:val="24"/>
          <w:szCs w:val="24"/>
        </w:rPr>
      </w:pPr>
    </w:p>
    <w:p w14:paraId="071B820E" w14:textId="77777777" w:rsidR="00A77714" w:rsidRDefault="00A77714" w:rsidP="00A77714">
      <w:pPr>
        <w:pStyle w:val="Heading2"/>
      </w:pPr>
      <w:r>
        <w:t>Answers to End-of-Chapter Questions and Problems</w:t>
      </w:r>
    </w:p>
    <w:p w14:paraId="455913C0" w14:textId="77777777" w:rsidR="00A77714" w:rsidRDefault="00A77714" w:rsidP="00A77714"/>
    <w:p w14:paraId="05577D3A" w14:textId="77777777" w:rsidR="00A77714" w:rsidRPr="003F24BE" w:rsidRDefault="00A77714" w:rsidP="00A77714">
      <w:pPr>
        <w:pStyle w:val="Heading3"/>
      </w:pPr>
      <w:r w:rsidRPr="003F24BE">
        <w:t>ANSWERS TO QUESTIONS</w:t>
      </w:r>
    </w:p>
    <w:p w14:paraId="086BD0B2" w14:textId="77777777" w:rsidR="00A77714" w:rsidRPr="000C31E5" w:rsidRDefault="00A77714" w:rsidP="000A1FEE">
      <w:pPr>
        <w:keepNext/>
        <w:widowControl w:val="0"/>
        <w:pBdr>
          <w:top w:val="nil"/>
          <w:left w:val="nil"/>
          <w:bottom w:val="nil"/>
          <w:right w:val="nil"/>
          <w:between w:val="nil"/>
        </w:pBdr>
        <w:tabs>
          <w:tab w:val="left" w:pos="0"/>
        </w:tabs>
        <w:rPr>
          <w:bCs/>
          <w:smallCaps/>
          <w:color w:val="000000"/>
          <w:sz w:val="24"/>
          <w:szCs w:val="24"/>
        </w:rPr>
      </w:pPr>
    </w:p>
    <w:p w14:paraId="2B32001A" w14:textId="77777777" w:rsidR="00A77714" w:rsidRPr="00E65474" w:rsidRDefault="00A77714" w:rsidP="000A1FEE">
      <w:pPr>
        <w:widowControl w:val="0"/>
        <w:numPr>
          <w:ilvl w:val="0"/>
          <w:numId w:val="4"/>
        </w:numPr>
        <w:pBdr>
          <w:top w:val="nil"/>
          <w:left w:val="nil"/>
          <w:bottom w:val="nil"/>
          <w:right w:val="nil"/>
          <w:between w:val="nil"/>
        </w:pBdr>
        <w:tabs>
          <w:tab w:val="left" w:pos="450"/>
        </w:tabs>
        <w:spacing w:after="120"/>
        <w:ind w:hanging="218"/>
        <w:rPr>
          <w:i/>
          <w:color w:val="000000"/>
          <w:sz w:val="24"/>
          <w:szCs w:val="24"/>
        </w:rPr>
      </w:pPr>
      <w:r w:rsidRPr="00E65474">
        <w:rPr>
          <w:i/>
          <w:color w:val="000000"/>
          <w:sz w:val="24"/>
          <w:szCs w:val="24"/>
        </w:rPr>
        <w:t>What is the typical relationship among interest rates on three-month Treasury bills, long-term Canada bonds, and corporate bonds?</w:t>
      </w:r>
    </w:p>
    <w:p w14:paraId="383AAB34" w14:textId="77777777" w:rsidR="00A77714" w:rsidRPr="00E65474" w:rsidRDefault="00A77714" w:rsidP="0086690D">
      <w:pPr>
        <w:widowControl w:val="0"/>
        <w:pBdr>
          <w:top w:val="nil"/>
          <w:left w:val="nil"/>
          <w:bottom w:val="nil"/>
          <w:right w:val="nil"/>
          <w:between w:val="nil"/>
        </w:pBdr>
        <w:tabs>
          <w:tab w:val="right" w:pos="270"/>
          <w:tab w:val="left" w:pos="450"/>
        </w:tabs>
        <w:spacing w:after="120"/>
        <w:ind w:left="360"/>
        <w:rPr>
          <w:color w:val="000000"/>
          <w:sz w:val="24"/>
          <w:szCs w:val="24"/>
        </w:rPr>
      </w:pPr>
      <w:bookmarkStart w:id="0" w:name="_gjdgxs" w:colFirst="0" w:colLast="0"/>
      <w:bookmarkEnd w:id="0"/>
      <w:r w:rsidRPr="00E65474">
        <w:rPr>
          <w:color w:val="000000"/>
          <w:sz w:val="24"/>
          <w:szCs w:val="24"/>
        </w:rPr>
        <w:t>The interest rate on three-month Treasury bills fluctuates more than the other interest rates and is lower on average. The interest rate on corporate bonds is higher on average than the other interest rates.</w:t>
      </w:r>
    </w:p>
    <w:p w14:paraId="3DC6C7DA" w14:textId="77777777" w:rsidR="00A77714" w:rsidRPr="00E65474" w:rsidRDefault="00A77714" w:rsidP="000A1FEE">
      <w:pPr>
        <w:widowControl w:val="0"/>
        <w:pBdr>
          <w:top w:val="nil"/>
          <w:left w:val="nil"/>
          <w:bottom w:val="nil"/>
          <w:right w:val="nil"/>
          <w:between w:val="nil"/>
        </w:pBdr>
        <w:tabs>
          <w:tab w:val="right" w:pos="270"/>
          <w:tab w:val="left" w:pos="450"/>
        </w:tabs>
        <w:ind w:left="360"/>
        <w:rPr>
          <w:color w:val="000000"/>
          <w:sz w:val="24"/>
          <w:szCs w:val="24"/>
        </w:rPr>
      </w:pPr>
    </w:p>
    <w:p w14:paraId="0DEDC77F" w14:textId="77777777" w:rsidR="00A77714" w:rsidRPr="00E65474" w:rsidRDefault="00A77714" w:rsidP="000A1FEE">
      <w:pPr>
        <w:widowControl w:val="0"/>
        <w:numPr>
          <w:ilvl w:val="0"/>
          <w:numId w:val="4"/>
        </w:numPr>
        <w:pBdr>
          <w:top w:val="nil"/>
          <w:left w:val="nil"/>
          <w:bottom w:val="nil"/>
          <w:right w:val="nil"/>
          <w:between w:val="nil"/>
        </w:pBdr>
        <w:tabs>
          <w:tab w:val="left" w:pos="450"/>
        </w:tabs>
        <w:spacing w:after="120"/>
        <w:ind w:hanging="218"/>
        <w:rPr>
          <w:i/>
          <w:color w:val="000000"/>
          <w:sz w:val="24"/>
          <w:szCs w:val="24"/>
        </w:rPr>
      </w:pPr>
      <w:r w:rsidRPr="00E65474">
        <w:rPr>
          <w:i/>
          <w:color w:val="000000"/>
          <w:sz w:val="24"/>
          <w:szCs w:val="24"/>
        </w:rPr>
        <w:t>What effect might a fall in stock prices have on business investment?</w:t>
      </w:r>
    </w:p>
    <w:p w14:paraId="760B09AE" w14:textId="77777777" w:rsidR="00A77714" w:rsidRPr="00E65474" w:rsidRDefault="00A77714" w:rsidP="0086690D">
      <w:pPr>
        <w:widowControl w:val="0"/>
        <w:pBdr>
          <w:top w:val="nil"/>
          <w:left w:val="nil"/>
          <w:bottom w:val="nil"/>
          <w:right w:val="nil"/>
          <w:between w:val="nil"/>
        </w:pBdr>
        <w:tabs>
          <w:tab w:val="right" w:pos="270"/>
          <w:tab w:val="left" w:pos="450"/>
        </w:tabs>
        <w:spacing w:after="120"/>
        <w:ind w:left="360"/>
        <w:rPr>
          <w:color w:val="000000"/>
          <w:sz w:val="24"/>
          <w:szCs w:val="24"/>
        </w:rPr>
      </w:pPr>
      <w:r w:rsidRPr="00E65474">
        <w:rPr>
          <w:color w:val="000000"/>
          <w:sz w:val="24"/>
          <w:szCs w:val="24"/>
        </w:rPr>
        <w:t>The lower price for a firm’s shares means that it can raise a smaller amount of funds, so investment in facilities and equipment will fall.</w:t>
      </w:r>
    </w:p>
    <w:p w14:paraId="61B84ED4" w14:textId="34230E82" w:rsidR="000C31E5" w:rsidRDefault="000C31E5">
      <w:pPr>
        <w:rPr>
          <w:i/>
          <w:color w:val="000000"/>
          <w:sz w:val="24"/>
          <w:szCs w:val="24"/>
        </w:rPr>
      </w:pPr>
    </w:p>
    <w:p w14:paraId="51C89CBC" w14:textId="1DFF2EEF" w:rsidR="00A77714" w:rsidRPr="00E65474" w:rsidRDefault="00A77714" w:rsidP="000A1FEE">
      <w:pPr>
        <w:widowControl w:val="0"/>
        <w:numPr>
          <w:ilvl w:val="0"/>
          <w:numId w:val="4"/>
        </w:numPr>
        <w:pBdr>
          <w:top w:val="nil"/>
          <w:left w:val="nil"/>
          <w:bottom w:val="nil"/>
          <w:right w:val="nil"/>
          <w:between w:val="nil"/>
        </w:pBdr>
        <w:tabs>
          <w:tab w:val="left" w:pos="450"/>
        </w:tabs>
        <w:spacing w:after="120"/>
        <w:ind w:hanging="218"/>
        <w:rPr>
          <w:i/>
          <w:color w:val="000000"/>
          <w:sz w:val="24"/>
          <w:szCs w:val="24"/>
        </w:rPr>
      </w:pPr>
      <w:r w:rsidRPr="00E65474">
        <w:rPr>
          <w:i/>
          <w:color w:val="000000"/>
          <w:sz w:val="24"/>
          <w:szCs w:val="24"/>
        </w:rPr>
        <w:t>Explain the main difference between a bond and a common stock.</w:t>
      </w:r>
    </w:p>
    <w:p w14:paraId="6569B923" w14:textId="77777777" w:rsidR="009A6CA0" w:rsidRDefault="00A77714" w:rsidP="000C31E5">
      <w:pPr>
        <w:widowControl w:val="0"/>
        <w:pBdr>
          <w:top w:val="nil"/>
          <w:left w:val="nil"/>
          <w:bottom w:val="nil"/>
          <w:right w:val="nil"/>
          <w:between w:val="nil"/>
        </w:pBdr>
        <w:tabs>
          <w:tab w:val="right" w:pos="270"/>
          <w:tab w:val="left" w:pos="450"/>
        </w:tabs>
        <w:spacing w:after="120"/>
        <w:ind w:left="357"/>
        <w:rPr>
          <w:color w:val="000000"/>
          <w:sz w:val="24"/>
          <w:szCs w:val="24"/>
        </w:rPr>
      </w:pPr>
      <w:r w:rsidRPr="00E65474">
        <w:rPr>
          <w:color w:val="000000"/>
          <w:sz w:val="24"/>
          <w:szCs w:val="24"/>
        </w:rPr>
        <w:t>A bond is a debt instrument, which entitles the owner to receive periodic amounts of money (predetermined by the characteristics of the bond) until its maturity date. A common stock, however, represents a share of ownership in the institution that has issued the stock.</w:t>
      </w:r>
      <w:r w:rsidR="009A6CA0">
        <w:rPr>
          <w:color w:val="000000"/>
          <w:sz w:val="24"/>
          <w:szCs w:val="24"/>
        </w:rPr>
        <w:t xml:space="preserve"> </w:t>
      </w:r>
      <w:r w:rsidRPr="00E65474">
        <w:rPr>
          <w:color w:val="000000"/>
          <w:sz w:val="24"/>
          <w:szCs w:val="24"/>
        </w:rPr>
        <w:t xml:space="preserve">In </w:t>
      </w:r>
    </w:p>
    <w:p w14:paraId="59797D1B" w14:textId="77777777" w:rsidR="009A6CA0" w:rsidRDefault="009A6CA0">
      <w:pPr>
        <w:rPr>
          <w:color w:val="000000"/>
          <w:sz w:val="24"/>
          <w:szCs w:val="24"/>
        </w:rPr>
      </w:pPr>
      <w:r>
        <w:rPr>
          <w:color w:val="000000"/>
          <w:sz w:val="24"/>
          <w:szCs w:val="24"/>
        </w:rPr>
        <w:br w:type="page"/>
      </w:r>
    </w:p>
    <w:p w14:paraId="4726C7E5" w14:textId="23F06C5A" w:rsidR="00A77714" w:rsidRDefault="00A77714" w:rsidP="000C31E5">
      <w:pPr>
        <w:widowControl w:val="0"/>
        <w:pBdr>
          <w:top w:val="nil"/>
          <w:left w:val="nil"/>
          <w:bottom w:val="nil"/>
          <w:right w:val="nil"/>
          <w:between w:val="nil"/>
        </w:pBdr>
        <w:tabs>
          <w:tab w:val="right" w:pos="270"/>
          <w:tab w:val="left" w:pos="450"/>
        </w:tabs>
        <w:spacing w:after="120"/>
        <w:ind w:left="357"/>
        <w:rPr>
          <w:color w:val="000000"/>
          <w:sz w:val="24"/>
          <w:szCs w:val="24"/>
        </w:rPr>
      </w:pPr>
      <w:r w:rsidRPr="00E65474">
        <w:rPr>
          <w:color w:val="000000"/>
          <w:sz w:val="24"/>
          <w:szCs w:val="24"/>
        </w:rPr>
        <w:lastRenderedPageBreak/>
        <w:t>addition to its definition, it is not the same to hold bonds or stock of a given corporation, since regulations state that stockholders are residual claimants (i.e., the corporation has to pay all bondholders before paying stockholders).</w:t>
      </w:r>
    </w:p>
    <w:p w14:paraId="1A558260" w14:textId="77777777" w:rsidR="000C31E5" w:rsidRPr="00E65474" w:rsidRDefault="000C31E5" w:rsidP="0086690D">
      <w:pPr>
        <w:widowControl w:val="0"/>
        <w:pBdr>
          <w:top w:val="nil"/>
          <w:left w:val="nil"/>
          <w:bottom w:val="nil"/>
          <w:right w:val="nil"/>
          <w:between w:val="nil"/>
        </w:pBdr>
        <w:tabs>
          <w:tab w:val="right" w:pos="270"/>
          <w:tab w:val="left" w:pos="450"/>
        </w:tabs>
        <w:ind w:left="360"/>
        <w:rPr>
          <w:color w:val="000000"/>
          <w:sz w:val="24"/>
          <w:szCs w:val="24"/>
        </w:rPr>
      </w:pPr>
    </w:p>
    <w:p w14:paraId="35CF67B8" w14:textId="77777777" w:rsidR="00A77714" w:rsidRPr="005A056F" w:rsidRDefault="00A77714" w:rsidP="000A1FEE">
      <w:pPr>
        <w:widowControl w:val="0"/>
        <w:numPr>
          <w:ilvl w:val="0"/>
          <w:numId w:val="4"/>
        </w:numPr>
        <w:pBdr>
          <w:top w:val="nil"/>
          <w:left w:val="nil"/>
          <w:bottom w:val="nil"/>
          <w:right w:val="nil"/>
          <w:between w:val="nil"/>
        </w:pBdr>
        <w:tabs>
          <w:tab w:val="left" w:pos="450"/>
        </w:tabs>
        <w:spacing w:after="120"/>
        <w:ind w:hanging="218"/>
        <w:rPr>
          <w:i/>
          <w:color w:val="000000"/>
          <w:sz w:val="24"/>
          <w:szCs w:val="24"/>
        </w:rPr>
      </w:pPr>
      <w:r w:rsidRPr="00E65474">
        <w:rPr>
          <w:i/>
          <w:color w:val="000000"/>
          <w:sz w:val="24"/>
          <w:szCs w:val="24"/>
        </w:rPr>
        <w:t>Explain the link between well-performing financial markets and economic growth. Name one channel through which financial markets might affect economic growth and poverty.</w:t>
      </w:r>
    </w:p>
    <w:p w14:paraId="70CADB47" w14:textId="77777777" w:rsidR="00A77714" w:rsidRPr="00E65474" w:rsidRDefault="00A77714" w:rsidP="0086690D">
      <w:pPr>
        <w:widowControl w:val="0"/>
        <w:pBdr>
          <w:top w:val="nil"/>
          <w:left w:val="nil"/>
          <w:bottom w:val="nil"/>
          <w:right w:val="nil"/>
          <w:between w:val="nil"/>
        </w:pBdr>
        <w:tabs>
          <w:tab w:val="right" w:pos="270"/>
          <w:tab w:val="left" w:pos="450"/>
        </w:tabs>
        <w:spacing w:after="120"/>
        <w:ind w:left="360"/>
        <w:rPr>
          <w:color w:val="000000"/>
          <w:sz w:val="24"/>
          <w:szCs w:val="24"/>
        </w:rPr>
      </w:pPr>
      <w:r w:rsidRPr="00E65474">
        <w:rPr>
          <w:color w:val="000000"/>
          <w:sz w:val="24"/>
          <w:szCs w:val="24"/>
        </w:rPr>
        <w:t>Well-performing financial markets tend to allocate funds to its more efficient use, thereby allowing the best investment opportunities to be undertaken. The improvement in the allocation of funds results in a more efficient economy, which stimulates economic growth (and thereby poverty reduction).</w:t>
      </w:r>
    </w:p>
    <w:p w14:paraId="314B200A" w14:textId="77777777" w:rsidR="00A77714" w:rsidRPr="00E65474" w:rsidRDefault="00A77714" w:rsidP="000A1FEE">
      <w:pPr>
        <w:widowControl w:val="0"/>
        <w:pBdr>
          <w:top w:val="nil"/>
          <w:left w:val="nil"/>
          <w:bottom w:val="nil"/>
          <w:right w:val="nil"/>
          <w:between w:val="nil"/>
        </w:pBdr>
        <w:tabs>
          <w:tab w:val="right" w:pos="270"/>
          <w:tab w:val="left" w:pos="450"/>
        </w:tabs>
        <w:ind w:left="360"/>
        <w:rPr>
          <w:color w:val="000000"/>
          <w:sz w:val="24"/>
          <w:szCs w:val="24"/>
        </w:rPr>
      </w:pPr>
    </w:p>
    <w:p w14:paraId="2A18F32E" w14:textId="77777777" w:rsidR="00A77714" w:rsidRPr="00E65474" w:rsidRDefault="00A77714" w:rsidP="000A1FEE">
      <w:pPr>
        <w:widowControl w:val="0"/>
        <w:numPr>
          <w:ilvl w:val="0"/>
          <w:numId w:val="4"/>
        </w:numPr>
        <w:pBdr>
          <w:top w:val="nil"/>
          <w:left w:val="nil"/>
          <w:bottom w:val="nil"/>
          <w:right w:val="nil"/>
          <w:between w:val="nil"/>
        </w:pBdr>
        <w:tabs>
          <w:tab w:val="left" w:pos="450"/>
        </w:tabs>
        <w:spacing w:after="120"/>
        <w:ind w:hanging="218"/>
        <w:rPr>
          <w:i/>
          <w:color w:val="000000"/>
          <w:sz w:val="24"/>
          <w:szCs w:val="24"/>
        </w:rPr>
      </w:pPr>
      <w:r w:rsidRPr="00E65474">
        <w:rPr>
          <w:i/>
          <w:color w:val="000000"/>
          <w:sz w:val="24"/>
          <w:szCs w:val="24"/>
        </w:rPr>
        <w:t>What was the main cause of the global financial crisis that began in 2007?</w:t>
      </w:r>
    </w:p>
    <w:p w14:paraId="1A35F37F" w14:textId="77777777" w:rsidR="00A77714" w:rsidRDefault="00A77714" w:rsidP="0086690D">
      <w:pPr>
        <w:widowControl w:val="0"/>
        <w:pBdr>
          <w:top w:val="nil"/>
          <w:left w:val="nil"/>
          <w:bottom w:val="nil"/>
          <w:right w:val="nil"/>
          <w:between w:val="nil"/>
        </w:pBdr>
        <w:tabs>
          <w:tab w:val="right" w:pos="270"/>
          <w:tab w:val="left" w:pos="450"/>
        </w:tabs>
        <w:spacing w:after="120"/>
        <w:ind w:left="360"/>
        <w:rPr>
          <w:color w:val="000000"/>
          <w:sz w:val="24"/>
          <w:szCs w:val="24"/>
        </w:rPr>
      </w:pPr>
      <w:r w:rsidRPr="00E65474">
        <w:rPr>
          <w:color w:val="000000"/>
          <w:sz w:val="24"/>
          <w:szCs w:val="24"/>
        </w:rPr>
        <w:t>The United States’ economy was hit by the worst financial crisis since the Great Depression. Defaults in subprime residential mortgages led to major losses in financial institutions, producing not only numerous bank failures but also the demise of two of the largest investment banks in the United States. These factors led to the “Great Recession” that began late in 2007.</w:t>
      </w:r>
    </w:p>
    <w:p w14:paraId="22CB0310" w14:textId="77777777" w:rsidR="005A056F" w:rsidRPr="00E65474" w:rsidRDefault="005A056F" w:rsidP="000A1FEE">
      <w:pPr>
        <w:widowControl w:val="0"/>
        <w:pBdr>
          <w:top w:val="nil"/>
          <w:left w:val="nil"/>
          <w:bottom w:val="nil"/>
          <w:right w:val="nil"/>
          <w:between w:val="nil"/>
        </w:pBdr>
        <w:tabs>
          <w:tab w:val="right" w:pos="270"/>
          <w:tab w:val="left" w:pos="450"/>
        </w:tabs>
        <w:ind w:left="360"/>
        <w:rPr>
          <w:color w:val="000000"/>
          <w:sz w:val="24"/>
          <w:szCs w:val="24"/>
        </w:rPr>
      </w:pPr>
    </w:p>
    <w:p w14:paraId="614151EE" w14:textId="77777777" w:rsidR="00A77714" w:rsidRPr="00E65474" w:rsidRDefault="00A77714" w:rsidP="000A1FEE">
      <w:pPr>
        <w:widowControl w:val="0"/>
        <w:numPr>
          <w:ilvl w:val="0"/>
          <w:numId w:val="4"/>
        </w:numPr>
        <w:pBdr>
          <w:top w:val="nil"/>
          <w:left w:val="nil"/>
          <w:bottom w:val="nil"/>
          <w:right w:val="nil"/>
          <w:between w:val="nil"/>
        </w:pBdr>
        <w:tabs>
          <w:tab w:val="left" w:pos="450"/>
        </w:tabs>
        <w:spacing w:after="120"/>
        <w:ind w:hanging="218"/>
        <w:rPr>
          <w:i/>
          <w:color w:val="000000"/>
          <w:sz w:val="24"/>
          <w:szCs w:val="24"/>
        </w:rPr>
      </w:pPr>
      <w:r w:rsidRPr="00E65474">
        <w:rPr>
          <w:i/>
          <w:color w:val="000000"/>
          <w:sz w:val="24"/>
          <w:szCs w:val="24"/>
        </w:rPr>
        <w:t>Can you think of a reason why people in general do not lend money to one another to buy a house or a car? How would your answer explain the existence of banks?</w:t>
      </w:r>
    </w:p>
    <w:p w14:paraId="21F0FE7D" w14:textId="77777777" w:rsidR="00A77714" w:rsidRPr="00E65474" w:rsidRDefault="00A77714" w:rsidP="0086690D">
      <w:pPr>
        <w:widowControl w:val="0"/>
        <w:pBdr>
          <w:top w:val="nil"/>
          <w:left w:val="nil"/>
          <w:bottom w:val="nil"/>
          <w:right w:val="nil"/>
          <w:between w:val="nil"/>
        </w:pBdr>
        <w:tabs>
          <w:tab w:val="right" w:pos="270"/>
          <w:tab w:val="left" w:pos="450"/>
        </w:tabs>
        <w:spacing w:after="120"/>
        <w:ind w:left="360"/>
        <w:rPr>
          <w:color w:val="000000"/>
          <w:sz w:val="24"/>
          <w:szCs w:val="24"/>
        </w:rPr>
      </w:pPr>
      <w:r w:rsidRPr="00E65474">
        <w:rPr>
          <w:color w:val="000000"/>
          <w:sz w:val="24"/>
          <w:szCs w:val="24"/>
        </w:rPr>
        <w:t>In general, people do not lend large amounts of money to one another because of several information problems. In particular, people do not know about the capacity of other people to repay their debts or the effort they will make to repay their debts. Financial intermediaries, in particular commercial banks, tend to solve these problems by acquiring information about potential borrowers and writing and enforcing contracts that encourage lenders to repay their debt and/or maintain the value of the collateral.</w:t>
      </w:r>
    </w:p>
    <w:p w14:paraId="355FD1E2" w14:textId="77777777" w:rsidR="00A77714" w:rsidRPr="00E65474" w:rsidRDefault="00A77714" w:rsidP="000A1FEE">
      <w:pPr>
        <w:widowControl w:val="0"/>
        <w:pBdr>
          <w:top w:val="nil"/>
          <w:left w:val="nil"/>
          <w:bottom w:val="nil"/>
          <w:right w:val="nil"/>
          <w:between w:val="nil"/>
        </w:pBdr>
        <w:tabs>
          <w:tab w:val="right" w:pos="270"/>
          <w:tab w:val="left" w:pos="450"/>
        </w:tabs>
        <w:ind w:left="357"/>
        <w:rPr>
          <w:color w:val="000000"/>
          <w:sz w:val="24"/>
          <w:szCs w:val="24"/>
        </w:rPr>
      </w:pPr>
    </w:p>
    <w:p w14:paraId="3803A817" w14:textId="77777777" w:rsidR="00A77714" w:rsidRPr="00E65474" w:rsidRDefault="00A77714" w:rsidP="000A1FEE">
      <w:pPr>
        <w:widowControl w:val="0"/>
        <w:numPr>
          <w:ilvl w:val="0"/>
          <w:numId w:val="4"/>
        </w:numPr>
        <w:pBdr>
          <w:top w:val="nil"/>
          <w:left w:val="nil"/>
          <w:bottom w:val="nil"/>
          <w:right w:val="nil"/>
          <w:between w:val="nil"/>
        </w:pBdr>
        <w:tabs>
          <w:tab w:val="left" w:pos="450"/>
        </w:tabs>
        <w:spacing w:after="120"/>
        <w:ind w:hanging="218"/>
        <w:rPr>
          <w:i/>
          <w:color w:val="000000"/>
          <w:sz w:val="24"/>
          <w:szCs w:val="24"/>
        </w:rPr>
      </w:pPr>
      <w:r w:rsidRPr="00E65474">
        <w:rPr>
          <w:i/>
          <w:color w:val="000000"/>
          <w:sz w:val="24"/>
          <w:szCs w:val="24"/>
        </w:rPr>
        <w:t>What are the other important financial intermediaries in the economy, besides banks?</w:t>
      </w:r>
    </w:p>
    <w:p w14:paraId="7F543DCA" w14:textId="77777777" w:rsidR="00A77714" w:rsidRPr="00E65474" w:rsidRDefault="00A77714" w:rsidP="0086690D">
      <w:pPr>
        <w:widowControl w:val="0"/>
        <w:pBdr>
          <w:top w:val="nil"/>
          <w:left w:val="nil"/>
          <w:bottom w:val="nil"/>
          <w:right w:val="nil"/>
          <w:between w:val="nil"/>
        </w:pBdr>
        <w:tabs>
          <w:tab w:val="right" w:pos="270"/>
          <w:tab w:val="left" w:pos="450"/>
        </w:tabs>
        <w:spacing w:after="120"/>
        <w:ind w:left="360"/>
        <w:rPr>
          <w:color w:val="000000"/>
          <w:sz w:val="24"/>
          <w:szCs w:val="24"/>
        </w:rPr>
      </w:pPr>
      <w:r w:rsidRPr="00E65474">
        <w:rPr>
          <w:i/>
          <w:color w:val="000000"/>
          <w:sz w:val="24"/>
          <w:szCs w:val="24"/>
        </w:rPr>
        <w:t xml:space="preserve">Other important financial intermediaries are </w:t>
      </w:r>
      <w:r w:rsidRPr="00E65474">
        <w:rPr>
          <w:color w:val="000000"/>
          <w:sz w:val="24"/>
          <w:szCs w:val="24"/>
        </w:rPr>
        <w:t xml:space="preserve">Trust and loan companies, credit unions, </w:t>
      </w:r>
      <w:r w:rsidRPr="00497421">
        <w:rPr>
          <w:i/>
          <w:color w:val="000000"/>
          <w:sz w:val="24"/>
          <w:szCs w:val="24"/>
        </w:rPr>
        <w:t>caisses populaires</w:t>
      </w:r>
      <w:r w:rsidRPr="00E65474">
        <w:rPr>
          <w:color w:val="000000"/>
          <w:sz w:val="24"/>
          <w:szCs w:val="24"/>
        </w:rPr>
        <w:t>, insurance companies, mutual funds, pension funds, and finance companies.</w:t>
      </w:r>
    </w:p>
    <w:p w14:paraId="5DD35A81" w14:textId="77777777" w:rsidR="00A77714" w:rsidRPr="00E65474" w:rsidRDefault="00A77714" w:rsidP="000A1FEE">
      <w:pPr>
        <w:widowControl w:val="0"/>
        <w:pBdr>
          <w:top w:val="nil"/>
          <w:left w:val="nil"/>
          <w:bottom w:val="nil"/>
          <w:right w:val="nil"/>
          <w:between w:val="nil"/>
        </w:pBdr>
        <w:tabs>
          <w:tab w:val="right" w:pos="270"/>
          <w:tab w:val="left" w:pos="450"/>
        </w:tabs>
        <w:ind w:left="357"/>
        <w:rPr>
          <w:color w:val="000000"/>
          <w:sz w:val="24"/>
          <w:szCs w:val="24"/>
        </w:rPr>
      </w:pPr>
    </w:p>
    <w:p w14:paraId="1043E4E7" w14:textId="77777777" w:rsidR="00A77714" w:rsidRPr="00E65474" w:rsidRDefault="00A77714" w:rsidP="000A1FEE">
      <w:pPr>
        <w:widowControl w:val="0"/>
        <w:numPr>
          <w:ilvl w:val="0"/>
          <w:numId w:val="4"/>
        </w:numPr>
        <w:pBdr>
          <w:top w:val="nil"/>
          <w:left w:val="nil"/>
          <w:bottom w:val="nil"/>
          <w:right w:val="nil"/>
          <w:between w:val="nil"/>
        </w:pBdr>
        <w:tabs>
          <w:tab w:val="left" w:pos="450"/>
        </w:tabs>
        <w:spacing w:after="120"/>
        <w:ind w:hanging="218"/>
        <w:rPr>
          <w:i/>
          <w:color w:val="000000"/>
          <w:sz w:val="24"/>
          <w:szCs w:val="24"/>
        </w:rPr>
      </w:pPr>
      <w:r w:rsidRPr="00E65474">
        <w:rPr>
          <w:i/>
          <w:color w:val="000000"/>
          <w:sz w:val="24"/>
          <w:szCs w:val="24"/>
        </w:rPr>
        <w:t>Can you date the latest financial crisis in the United States or in Europe? Are there reasons to think that these crises might have been related? Why?</w:t>
      </w:r>
    </w:p>
    <w:p w14:paraId="17B123D3" w14:textId="77777777" w:rsidR="00A77714" w:rsidRPr="00E65474" w:rsidRDefault="00A77714" w:rsidP="0086690D">
      <w:pPr>
        <w:widowControl w:val="0"/>
        <w:pBdr>
          <w:top w:val="nil"/>
          <w:left w:val="nil"/>
          <w:bottom w:val="nil"/>
          <w:right w:val="nil"/>
          <w:between w:val="nil"/>
        </w:pBdr>
        <w:tabs>
          <w:tab w:val="right" w:pos="270"/>
          <w:tab w:val="left" w:pos="450"/>
        </w:tabs>
        <w:spacing w:after="120"/>
        <w:ind w:left="360"/>
        <w:rPr>
          <w:color w:val="000000"/>
          <w:sz w:val="24"/>
          <w:szCs w:val="24"/>
        </w:rPr>
      </w:pPr>
      <w:r w:rsidRPr="00E65474">
        <w:rPr>
          <w:color w:val="000000"/>
          <w:sz w:val="24"/>
          <w:szCs w:val="24"/>
        </w:rPr>
        <w:t>The latest financial crisis in the United States and Europe occurred in 2007–2009. At the beginning, it hit mostly the U.S. financial system, but it then quickly moved to Europe, since financial markets are highly interconnected. One specific way in which these markets were related is that some financial intermediaries in Europe held securities backed by mortgages originating in the United States, and when these securities lost a considerable part of their value, the balance sheet of European financial intermediaries was adversely affected.</w:t>
      </w:r>
    </w:p>
    <w:p w14:paraId="01B80815" w14:textId="77777777" w:rsidR="00A77714" w:rsidRPr="00E65474" w:rsidRDefault="00A77714" w:rsidP="00A77714">
      <w:pPr>
        <w:widowControl w:val="0"/>
        <w:pBdr>
          <w:top w:val="nil"/>
          <w:left w:val="nil"/>
          <w:bottom w:val="nil"/>
          <w:right w:val="nil"/>
          <w:between w:val="nil"/>
        </w:pBdr>
        <w:tabs>
          <w:tab w:val="right" w:pos="270"/>
          <w:tab w:val="left" w:pos="450"/>
        </w:tabs>
        <w:ind w:left="357"/>
        <w:rPr>
          <w:color w:val="000000"/>
          <w:sz w:val="24"/>
          <w:szCs w:val="24"/>
        </w:rPr>
      </w:pPr>
    </w:p>
    <w:p w14:paraId="260472B6" w14:textId="77777777" w:rsidR="009A6CA0" w:rsidRDefault="009A6CA0">
      <w:pPr>
        <w:rPr>
          <w:i/>
          <w:color w:val="000000"/>
          <w:sz w:val="24"/>
          <w:szCs w:val="24"/>
        </w:rPr>
      </w:pPr>
      <w:r>
        <w:rPr>
          <w:i/>
          <w:color w:val="000000"/>
          <w:sz w:val="24"/>
          <w:szCs w:val="24"/>
        </w:rPr>
        <w:br w:type="page"/>
      </w:r>
    </w:p>
    <w:p w14:paraId="0C1ACA79" w14:textId="24C1486E" w:rsidR="00A77714" w:rsidRPr="00E65474" w:rsidRDefault="00A77714" w:rsidP="000A1FEE">
      <w:pPr>
        <w:widowControl w:val="0"/>
        <w:numPr>
          <w:ilvl w:val="0"/>
          <w:numId w:val="4"/>
        </w:numPr>
        <w:pBdr>
          <w:top w:val="nil"/>
          <w:left w:val="nil"/>
          <w:bottom w:val="nil"/>
          <w:right w:val="nil"/>
          <w:between w:val="nil"/>
        </w:pBdr>
        <w:tabs>
          <w:tab w:val="left" w:pos="450"/>
        </w:tabs>
        <w:spacing w:after="120"/>
        <w:ind w:hanging="218"/>
        <w:rPr>
          <w:i/>
          <w:color w:val="000000"/>
          <w:sz w:val="24"/>
          <w:szCs w:val="24"/>
        </w:rPr>
      </w:pPr>
      <w:r w:rsidRPr="00E65474">
        <w:rPr>
          <w:i/>
          <w:color w:val="000000"/>
          <w:sz w:val="24"/>
          <w:szCs w:val="24"/>
        </w:rPr>
        <w:lastRenderedPageBreak/>
        <w:t>Has the inflation rate in Canada increased or decreased in the past few years? What about interest rates?</w:t>
      </w:r>
    </w:p>
    <w:p w14:paraId="7AD64A50" w14:textId="4E159A9A" w:rsidR="00A77714" w:rsidRDefault="00A77714" w:rsidP="003D6920">
      <w:pPr>
        <w:widowControl w:val="0"/>
        <w:pBdr>
          <w:top w:val="nil"/>
          <w:left w:val="nil"/>
          <w:bottom w:val="nil"/>
          <w:right w:val="nil"/>
          <w:between w:val="nil"/>
        </w:pBdr>
        <w:tabs>
          <w:tab w:val="right" w:pos="270"/>
          <w:tab w:val="left" w:pos="450"/>
        </w:tabs>
        <w:spacing w:after="120"/>
        <w:ind w:left="357"/>
        <w:rPr>
          <w:rFonts w:ascii="BerkeleyPro-Book" w:eastAsiaTheme="minorHAnsi" w:hAnsi="BerkeleyPro-Book" w:cs="BerkeleyPro-Book"/>
          <w:sz w:val="21"/>
          <w:szCs w:val="21"/>
        </w:rPr>
      </w:pPr>
      <w:r w:rsidRPr="00E65474">
        <w:rPr>
          <w:color w:val="000000"/>
          <w:sz w:val="24"/>
          <w:szCs w:val="24"/>
        </w:rPr>
        <w:t xml:space="preserve">From </w:t>
      </w:r>
      <w:r w:rsidR="005A056F">
        <w:rPr>
          <w:color w:val="000000"/>
          <w:sz w:val="24"/>
          <w:szCs w:val="24"/>
        </w:rPr>
        <w:t>1968</w:t>
      </w:r>
      <w:r w:rsidRPr="00E65474">
        <w:rPr>
          <w:color w:val="000000"/>
          <w:sz w:val="24"/>
          <w:szCs w:val="24"/>
        </w:rPr>
        <w:t xml:space="preserve"> to </w:t>
      </w:r>
      <w:r w:rsidR="005A056F">
        <w:rPr>
          <w:color w:val="000000"/>
          <w:sz w:val="24"/>
          <w:szCs w:val="24"/>
        </w:rPr>
        <w:t>2020</w:t>
      </w:r>
      <w:r w:rsidRPr="00E65474">
        <w:rPr>
          <w:color w:val="000000"/>
          <w:sz w:val="24"/>
          <w:szCs w:val="24"/>
        </w:rPr>
        <w:t xml:space="preserve">, </w:t>
      </w:r>
      <w:r w:rsidR="005A056F" w:rsidRPr="005A056F">
        <w:rPr>
          <w:color w:val="000000"/>
          <w:sz w:val="24"/>
          <w:szCs w:val="24"/>
        </w:rPr>
        <w:t>the price level has increased more than sevenfold</w:t>
      </w:r>
      <w:r w:rsidR="005A056F">
        <w:rPr>
          <w:color w:val="000000"/>
          <w:sz w:val="24"/>
          <w:szCs w:val="24"/>
        </w:rPr>
        <w:t>. In the late 1970’s i</w:t>
      </w:r>
      <w:r w:rsidRPr="00E65474">
        <w:rPr>
          <w:color w:val="000000"/>
          <w:sz w:val="24"/>
          <w:szCs w:val="24"/>
        </w:rPr>
        <w:t xml:space="preserve">nterest rates </w:t>
      </w:r>
      <w:r w:rsidR="005A056F">
        <w:rPr>
          <w:color w:val="000000"/>
          <w:sz w:val="24"/>
          <w:szCs w:val="24"/>
        </w:rPr>
        <w:t>rose</w:t>
      </w:r>
      <w:r w:rsidRPr="00E65474">
        <w:rPr>
          <w:color w:val="000000"/>
          <w:sz w:val="24"/>
          <w:szCs w:val="24"/>
        </w:rPr>
        <w:t xml:space="preserve">, but they have </w:t>
      </w:r>
      <w:r w:rsidR="005A056F">
        <w:rPr>
          <w:color w:val="000000"/>
          <w:sz w:val="24"/>
          <w:szCs w:val="24"/>
        </w:rPr>
        <w:t>de</w:t>
      </w:r>
      <w:r w:rsidRPr="00E65474">
        <w:rPr>
          <w:color w:val="000000"/>
          <w:sz w:val="24"/>
          <w:szCs w:val="24"/>
        </w:rPr>
        <w:t xml:space="preserve">creased </w:t>
      </w:r>
      <w:r w:rsidR="00C15AFD">
        <w:rPr>
          <w:color w:val="000000"/>
          <w:sz w:val="24"/>
          <w:szCs w:val="24"/>
        </w:rPr>
        <w:t>since then and have remained low</w:t>
      </w:r>
      <w:r w:rsidRPr="00E65474">
        <w:rPr>
          <w:color w:val="000000"/>
          <w:sz w:val="24"/>
          <w:szCs w:val="24"/>
        </w:rPr>
        <w:t>.</w:t>
      </w:r>
      <w:r w:rsidR="005A056F" w:rsidRPr="005A056F">
        <w:rPr>
          <w:rFonts w:ascii="BerkeleyPro-Book" w:eastAsiaTheme="minorHAnsi" w:hAnsi="BerkeleyPro-Book" w:cs="BerkeleyPro-Book"/>
          <w:sz w:val="21"/>
          <w:szCs w:val="21"/>
        </w:rPr>
        <w:t xml:space="preserve"> </w:t>
      </w:r>
    </w:p>
    <w:p w14:paraId="2DD8E28F" w14:textId="77777777" w:rsidR="003D6920" w:rsidRPr="00E65474" w:rsidRDefault="003D6920" w:rsidP="000A1FEE">
      <w:pPr>
        <w:widowControl w:val="0"/>
        <w:pBdr>
          <w:top w:val="nil"/>
          <w:left w:val="nil"/>
          <w:bottom w:val="nil"/>
          <w:right w:val="nil"/>
          <w:between w:val="nil"/>
        </w:pBdr>
        <w:tabs>
          <w:tab w:val="right" w:pos="270"/>
          <w:tab w:val="left" w:pos="450"/>
        </w:tabs>
        <w:ind w:left="357"/>
        <w:rPr>
          <w:color w:val="000000"/>
          <w:sz w:val="24"/>
          <w:szCs w:val="24"/>
        </w:rPr>
      </w:pPr>
    </w:p>
    <w:p w14:paraId="06865ED6" w14:textId="33834B40" w:rsidR="00A77714" w:rsidRPr="00E65474" w:rsidRDefault="00A77714" w:rsidP="003D6920">
      <w:pPr>
        <w:widowControl w:val="0"/>
        <w:numPr>
          <w:ilvl w:val="0"/>
          <w:numId w:val="4"/>
        </w:numPr>
        <w:pBdr>
          <w:top w:val="nil"/>
          <w:left w:val="nil"/>
          <w:bottom w:val="nil"/>
          <w:right w:val="nil"/>
          <w:between w:val="nil"/>
        </w:pBdr>
        <w:tabs>
          <w:tab w:val="left" w:pos="450"/>
        </w:tabs>
        <w:spacing w:after="120"/>
        <w:ind w:left="357" w:hanging="119"/>
        <w:rPr>
          <w:i/>
          <w:color w:val="000000"/>
          <w:sz w:val="24"/>
          <w:szCs w:val="24"/>
        </w:rPr>
      </w:pPr>
      <w:r w:rsidRPr="00E65474">
        <w:rPr>
          <w:i/>
          <w:color w:val="000000"/>
          <w:sz w:val="24"/>
          <w:szCs w:val="24"/>
        </w:rPr>
        <w:t>If history repeats itself and we see a decline in the rate of money growth, what might you expect to happen to</w:t>
      </w:r>
    </w:p>
    <w:p w14:paraId="6BF0F6FB" w14:textId="77777777" w:rsidR="00A77714" w:rsidRPr="00E65474" w:rsidRDefault="00A77714" w:rsidP="00A77714">
      <w:pPr>
        <w:widowControl w:val="0"/>
        <w:numPr>
          <w:ilvl w:val="1"/>
          <w:numId w:val="4"/>
        </w:numPr>
        <w:pBdr>
          <w:top w:val="nil"/>
          <w:left w:val="nil"/>
          <w:bottom w:val="nil"/>
          <w:right w:val="nil"/>
          <w:between w:val="nil"/>
        </w:pBdr>
        <w:tabs>
          <w:tab w:val="right" w:pos="270"/>
          <w:tab w:val="left" w:pos="450"/>
        </w:tabs>
        <w:spacing w:after="120"/>
        <w:ind w:left="720"/>
        <w:rPr>
          <w:i/>
          <w:color w:val="000000"/>
          <w:sz w:val="24"/>
          <w:szCs w:val="24"/>
        </w:rPr>
      </w:pPr>
      <w:r w:rsidRPr="00E65474">
        <w:rPr>
          <w:i/>
          <w:color w:val="000000"/>
          <w:sz w:val="24"/>
          <w:szCs w:val="24"/>
        </w:rPr>
        <w:t>Real output?</w:t>
      </w:r>
    </w:p>
    <w:p w14:paraId="163FE0B7" w14:textId="77777777" w:rsidR="00A77714" w:rsidRPr="00E65474" w:rsidRDefault="00A77714" w:rsidP="00A77714">
      <w:pPr>
        <w:widowControl w:val="0"/>
        <w:numPr>
          <w:ilvl w:val="1"/>
          <w:numId w:val="4"/>
        </w:numPr>
        <w:pBdr>
          <w:top w:val="nil"/>
          <w:left w:val="nil"/>
          <w:bottom w:val="nil"/>
          <w:right w:val="nil"/>
          <w:between w:val="nil"/>
        </w:pBdr>
        <w:tabs>
          <w:tab w:val="right" w:pos="270"/>
          <w:tab w:val="left" w:pos="450"/>
        </w:tabs>
        <w:spacing w:after="120"/>
        <w:ind w:left="720"/>
        <w:rPr>
          <w:i/>
          <w:color w:val="000000"/>
          <w:sz w:val="24"/>
          <w:szCs w:val="24"/>
        </w:rPr>
      </w:pPr>
      <w:r w:rsidRPr="00E65474">
        <w:rPr>
          <w:i/>
          <w:color w:val="000000"/>
          <w:sz w:val="24"/>
          <w:szCs w:val="24"/>
        </w:rPr>
        <w:t>The inflation rate?</w:t>
      </w:r>
    </w:p>
    <w:p w14:paraId="2B9C84C1" w14:textId="77777777" w:rsidR="00A77714" w:rsidRPr="00E65474" w:rsidRDefault="00A77714" w:rsidP="00A77714">
      <w:pPr>
        <w:widowControl w:val="0"/>
        <w:numPr>
          <w:ilvl w:val="1"/>
          <w:numId w:val="4"/>
        </w:numPr>
        <w:pBdr>
          <w:top w:val="nil"/>
          <w:left w:val="nil"/>
          <w:bottom w:val="nil"/>
          <w:right w:val="nil"/>
          <w:between w:val="nil"/>
        </w:pBdr>
        <w:tabs>
          <w:tab w:val="right" w:pos="270"/>
          <w:tab w:val="left" w:pos="450"/>
        </w:tabs>
        <w:spacing w:after="120"/>
        <w:ind w:left="720"/>
        <w:rPr>
          <w:i/>
          <w:color w:val="000000"/>
          <w:sz w:val="24"/>
          <w:szCs w:val="24"/>
        </w:rPr>
      </w:pPr>
      <w:r w:rsidRPr="00E65474">
        <w:rPr>
          <w:i/>
          <w:color w:val="000000"/>
          <w:sz w:val="24"/>
          <w:szCs w:val="24"/>
        </w:rPr>
        <w:t>Interest rates?</w:t>
      </w:r>
    </w:p>
    <w:p w14:paraId="2E9DA366" w14:textId="77777777" w:rsidR="00A77714" w:rsidRPr="00E65474" w:rsidRDefault="00A77714" w:rsidP="0086690D">
      <w:pPr>
        <w:widowControl w:val="0"/>
        <w:pBdr>
          <w:top w:val="nil"/>
          <w:left w:val="nil"/>
          <w:bottom w:val="nil"/>
          <w:right w:val="nil"/>
          <w:between w:val="nil"/>
        </w:pBdr>
        <w:tabs>
          <w:tab w:val="right" w:pos="270"/>
          <w:tab w:val="left" w:pos="450"/>
        </w:tabs>
        <w:spacing w:after="120"/>
        <w:ind w:left="357"/>
        <w:rPr>
          <w:color w:val="000000"/>
          <w:sz w:val="24"/>
          <w:szCs w:val="24"/>
        </w:rPr>
      </w:pPr>
      <w:r w:rsidRPr="00E65474">
        <w:rPr>
          <w:color w:val="000000"/>
          <w:sz w:val="24"/>
          <w:szCs w:val="24"/>
        </w:rPr>
        <w:t>The data in Figures 1-3, 1-4, and 1-6 suggest that real output, the inflation rate, and interest rates would all fall.</w:t>
      </w:r>
    </w:p>
    <w:p w14:paraId="70925E3D" w14:textId="77777777" w:rsidR="00A77714" w:rsidRPr="00E65474" w:rsidRDefault="00A77714" w:rsidP="00A77714">
      <w:pPr>
        <w:widowControl w:val="0"/>
        <w:pBdr>
          <w:top w:val="nil"/>
          <w:left w:val="nil"/>
          <w:bottom w:val="nil"/>
          <w:right w:val="nil"/>
          <w:between w:val="nil"/>
        </w:pBdr>
        <w:tabs>
          <w:tab w:val="right" w:pos="270"/>
          <w:tab w:val="left" w:pos="450"/>
        </w:tabs>
        <w:ind w:left="357"/>
        <w:rPr>
          <w:color w:val="000000"/>
          <w:sz w:val="24"/>
          <w:szCs w:val="24"/>
        </w:rPr>
      </w:pPr>
    </w:p>
    <w:p w14:paraId="3A36305D" w14:textId="77777777" w:rsidR="00A77714" w:rsidRPr="00E65474" w:rsidRDefault="00A77714" w:rsidP="003D6920">
      <w:pPr>
        <w:widowControl w:val="0"/>
        <w:numPr>
          <w:ilvl w:val="0"/>
          <w:numId w:val="4"/>
        </w:numPr>
        <w:pBdr>
          <w:top w:val="nil"/>
          <w:left w:val="nil"/>
          <w:bottom w:val="nil"/>
          <w:right w:val="nil"/>
          <w:between w:val="nil"/>
        </w:pBdr>
        <w:tabs>
          <w:tab w:val="left" w:pos="450"/>
        </w:tabs>
        <w:spacing w:after="120"/>
        <w:ind w:left="357" w:hanging="119"/>
        <w:rPr>
          <w:i/>
          <w:color w:val="000000"/>
          <w:sz w:val="24"/>
          <w:szCs w:val="24"/>
        </w:rPr>
      </w:pPr>
      <w:r w:rsidRPr="00E65474">
        <w:rPr>
          <w:i/>
          <w:color w:val="000000"/>
          <w:sz w:val="24"/>
          <w:szCs w:val="24"/>
        </w:rPr>
        <w:t>When interest rates decrease, how might businesses and consumers change their economic behaviour?</w:t>
      </w:r>
    </w:p>
    <w:p w14:paraId="4BEA3055" w14:textId="77777777" w:rsidR="00A77714" w:rsidRDefault="00A77714" w:rsidP="0086690D">
      <w:pPr>
        <w:widowControl w:val="0"/>
        <w:pBdr>
          <w:top w:val="nil"/>
          <w:left w:val="nil"/>
          <w:bottom w:val="nil"/>
          <w:right w:val="nil"/>
          <w:between w:val="nil"/>
        </w:pBdr>
        <w:tabs>
          <w:tab w:val="right" w:pos="270"/>
          <w:tab w:val="left" w:pos="450"/>
        </w:tabs>
        <w:spacing w:after="120"/>
        <w:ind w:left="357"/>
        <w:rPr>
          <w:color w:val="000000"/>
          <w:sz w:val="24"/>
          <w:szCs w:val="24"/>
        </w:rPr>
      </w:pPr>
      <w:r w:rsidRPr="00E65474">
        <w:rPr>
          <w:color w:val="000000"/>
          <w:sz w:val="24"/>
          <w:szCs w:val="24"/>
        </w:rPr>
        <w:t>Businesses would increase investment spending because the cost of financing this spending is now lower, and consumers would be more likely to purchase a house or a car because the cost of financing their purchase is lower.</w:t>
      </w:r>
    </w:p>
    <w:p w14:paraId="724D10D5" w14:textId="77777777" w:rsidR="005A056F" w:rsidRPr="00E65474" w:rsidRDefault="005A056F" w:rsidP="00A77714">
      <w:pPr>
        <w:widowControl w:val="0"/>
        <w:pBdr>
          <w:top w:val="nil"/>
          <w:left w:val="nil"/>
          <w:bottom w:val="nil"/>
          <w:right w:val="nil"/>
          <w:between w:val="nil"/>
        </w:pBdr>
        <w:tabs>
          <w:tab w:val="right" w:pos="270"/>
          <w:tab w:val="left" w:pos="450"/>
        </w:tabs>
        <w:ind w:left="357"/>
        <w:rPr>
          <w:color w:val="000000"/>
          <w:sz w:val="24"/>
          <w:szCs w:val="24"/>
        </w:rPr>
      </w:pPr>
    </w:p>
    <w:p w14:paraId="118BA10F" w14:textId="77777777" w:rsidR="00A77714" w:rsidRPr="00E65474" w:rsidRDefault="00A77714" w:rsidP="003D6920">
      <w:pPr>
        <w:widowControl w:val="0"/>
        <w:numPr>
          <w:ilvl w:val="0"/>
          <w:numId w:val="4"/>
        </w:numPr>
        <w:pBdr>
          <w:top w:val="nil"/>
          <w:left w:val="nil"/>
          <w:bottom w:val="nil"/>
          <w:right w:val="nil"/>
          <w:between w:val="nil"/>
        </w:pBdr>
        <w:tabs>
          <w:tab w:val="left" w:pos="450"/>
        </w:tabs>
        <w:spacing w:after="120"/>
        <w:ind w:left="357" w:hanging="119"/>
        <w:rPr>
          <w:i/>
          <w:color w:val="000000"/>
          <w:sz w:val="24"/>
          <w:szCs w:val="24"/>
        </w:rPr>
      </w:pPr>
      <w:r w:rsidRPr="00E65474">
        <w:rPr>
          <w:i/>
          <w:color w:val="000000"/>
          <w:sz w:val="24"/>
          <w:szCs w:val="24"/>
        </w:rPr>
        <w:t>Is everybody worse off when interest rates rise?</w:t>
      </w:r>
    </w:p>
    <w:p w14:paraId="34AE82A8" w14:textId="77777777" w:rsidR="00A77714" w:rsidRPr="00E65474" w:rsidRDefault="00A77714" w:rsidP="0086690D">
      <w:pPr>
        <w:widowControl w:val="0"/>
        <w:pBdr>
          <w:top w:val="nil"/>
          <w:left w:val="nil"/>
          <w:bottom w:val="nil"/>
          <w:right w:val="nil"/>
          <w:between w:val="nil"/>
        </w:pBdr>
        <w:tabs>
          <w:tab w:val="right" w:pos="270"/>
          <w:tab w:val="left" w:pos="450"/>
        </w:tabs>
        <w:spacing w:after="120"/>
        <w:ind w:left="360"/>
        <w:rPr>
          <w:color w:val="000000"/>
          <w:sz w:val="24"/>
          <w:szCs w:val="24"/>
        </w:rPr>
      </w:pPr>
      <w:r w:rsidRPr="00E65474">
        <w:rPr>
          <w:color w:val="000000"/>
          <w:sz w:val="24"/>
          <w:szCs w:val="24"/>
        </w:rPr>
        <w:t>No. It is true that people who borrow to purchase a house or a car are worse off because it costs them more to finance their purchase; however, savers benefit because they can earn higher interest rates on their savings.</w:t>
      </w:r>
    </w:p>
    <w:p w14:paraId="25D74871" w14:textId="77777777" w:rsidR="00A77714" w:rsidRPr="00E65474" w:rsidRDefault="00A77714" w:rsidP="000A1FEE">
      <w:pPr>
        <w:widowControl w:val="0"/>
        <w:pBdr>
          <w:top w:val="nil"/>
          <w:left w:val="nil"/>
          <w:bottom w:val="nil"/>
          <w:right w:val="nil"/>
          <w:between w:val="nil"/>
        </w:pBdr>
        <w:tabs>
          <w:tab w:val="right" w:pos="270"/>
          <w:tab w:val="left" w:pos="450"/>
        </w:tabs>
        <w:ind w:left="360"/>
        <w:rPr>
          <w:color w:val="000000"/>
          <w:sz w:val="24"/>
          <w:szCs w:val="24"/>
        </w:rPr>
      </w:pPr>
    </w:p>
    <w:p w14:paraId="4F02CF9F" w14:textId="77777777" w:rsidR="00A77714" w:rsidRPr="00E65474" w:rsidRDefault="00A77714" w:rsidP="003D6920">
      <w:pPr>
        <w:widowControl w:val="0"/>
        <w:numPr>
          <w:ilvl w:val="0"/>
          <w:numId w:val="4"/>
        </w:numPr>
        <w:pBdr>
          <w:top w:val="nil"/>
          <w:left w:val="nil"/>
          <w:bottom w:val="nil"/>
          <w:right w:val="nil"/>
          <w:between w:val="nil"/>
        </w:pBdr>
        <w:tabs>
          <w:tab w:val="left" w:pos="450"/>
        </w:tabs>
        <w:spacing w:after="120"/>
        <w:ind w:left="357" w:hanging="119"/>
        <w:rPr>
          <w:i/>
          <w:color w:val="000000"/>
          <w:sz w:val="24"/>
          <w:szCs w:val="24"/>
        </w:rPr>
      </w:pPr>
      <w:r w:rsidRPr="00E65474">
        <w:rPr>
          <w:i/>
          <w:color w:val="000000"/>
          <w:sz w:val="24"/>
          <w:szCs w:val="24"/>
        </w:rPr>
        <w:t>Why do managers of financial institutions care so much about the activities of the Bank of Canada?</w:t>
      </w:r>
    </w:p>
    <w:p w14:paraId="39E3E5EC" w14:textId="77777777" w:rsidR="00A77714" w:rsidRPr="00E65474" w:rsidRDefault="00A77714" w:rsidP="0086690D">
      <w:pPr>
        <w:widowControl w:val="0"/>
        <w:pBdr>
          <w:top w:val="nil"/>
          <w:left w:val="nil"/>
          <w:bottom w:val="nil"/>
          <w:right w:val="nil"/>
          <w:between w:val="nil"/>
        </w:pBdr>
        <w:tabs>
          <w:tab w:val="right" w:pos="270"/>
          <w:tab w:val="left" w:pos="450"/>
        </w:tabs>
        <w:spacing w:after="120"/>
        <w:ind w:left="360"/>
        <w:rPr>
          <w:color w:val="000000"/>
          <w:sz w:val="24"/>
          <w:szCs w:val="24"/>
        </w:rPr>
      </w:pPr>
      <w:r w:rsidRPr="00E65474">
        <w:rPr>
          <w:color w:val="000000"/>
          <w:sz w:val="24"/>
          <w:szCs w:val="24"/>
        </w:rPr>
        <w:t>Because the Bank of Canada affects interest rates, inflation, and business cycles, all of which have an important impact on the profitability of financial institutions.</w:t>
      </w:r>
    </w:p>
    <w:p w14:paraId="76F85C6F" w14:textId="77777777" w:rsidR="00A77714" w:rsidRPr="00E65474" w:rsidRDefault="00A77714" w:rsidP="000A1FEE">
      <w:pPr>
        <w:widowControl w:val="0"/>
        <w:pBdr>
          <w:top w:val="nil"/>
          <w:left w:val="nil"/>
          <w:bottom w:val="nil"/>
          <w:right w:val="nil"/>
          <w:between w:val="nil"/>
        </w:pBdr>
        <w:tabs>
          <w:tab w:val="right" w:pos="270"/>
          <w:tab w:val="left" w:pos="450"/>
        </w:tabs>
        <w:ind w:left="360"/>
        <w:rPr>
          <w:color w:val="000000"/>
          <w:sz w:val="24"/>
          <w:szCs w:val="24"/>
        </w:rPr>
      </w:pPr>
    </w:p>
    <w:p w14:paraId="30FEF607" w14:textId="77777777" w:rsidR="00A77714" w:rsidRPr="00E65474" w:rsidRDefault="00A77714" w:rsidP="003D6920">
      <w:pPr>
        <w:widowControl w:val="0"/>
        <w:numPr>
          <w:ilvl w:val="0"/>
          <w:numId w:val="4"/>
        </w:numPr>
        <w:pBdr>
          <w:top w:val="nil"/>
          <w:left w:val="nil"/>
          <w:bottom w:val="nil"/>
          <w:right w:val="nil"/>
          <w:between w:val="nil"/>
        </w:pBdr>
        <w:tabs>
          <w:tab w:val="left" w:pos="450"/>
        </w:tabs>
        <w:spacing w:after="120"/>
        <w:ind w:left="357" w:hanging="119"/>
        <w:rPr>
          <w:i/>
          <w:color w:val="000000"/>
          <w:sz w:val="24"/>
          <w:szCs w:val="24"/>
        </w:rPr>
      </w:pPr>
      <w:r w:rsidRPr="00E65474">
        <w:rPr>
          <w:i/>
          <w:color w:val="000000"/>
          <w:sz w:val="24"/>
          <w:szCs w:val="24"/>
        </w:rPr>
        <w:t>How does the current size of the Canadian budget deficit compare to the historical budget deficit or surplus for the time period since 1960?</w:t>
      </w:r>
    </w:p>
    <w:p w14:paraId="40312D01" w14:textId="4828DE7B" w:rsidR="00A77714" w:rsidRPr="00E65474" w:rsidRDefault="00A77714" w:rsidP="0086690D">
      <w:pPr>
        <w:widowControl w:val="0"/>
        <w:pBdr>
          <w:top w:val="nil"/>
          <w:left w:val="nil"/>
          <w:bottom w:val="nil"/>
          <w:right w:val="nil"/>
          <w:between w:val="nil"/>
        </w:pBdr>
        <w:tabs>
          <w:tab w:val="right" w:pos="270"/>
          <w:tab w:val="left" w:pos="450"/>
        </w:tabs>
        <w:spacing w:after="120"/>
        <w:ind w:left="360"/>
        <w:rPr>
          <w:color w:val="000000"/>
          <w:sz w:val="24"/>
          <w:szCs w:val="24"/>
        </w:rPr>
      </w:pPr>
      <w:r w:rsidRPr="00E65474">
        <w:rPr>
          <w:color w:val="000000"/>
          <w:sz w:val="24"/>
          <w:szCs w:val="24"/>
        </w:rPr>
        <w:t>The deficit as a percentage of GDP expanded dramatically in 2007; in 2010, the deficit to GDP ratio was over 4%, well above the historical average of around 1.3% since 1960. In the most recent year, 2017, the deficit turned out to be less than what was expected by over</w:t>
      </w:r>
      <w:r w:rsidR="00624B63">
        <w:rPr>
          <w:color w:val="000000"/>
          <w:sz w:val="24"/>
          <w:szCs w:val="24"/>
        </w:rPr>
        <w:br/>
      </w:r>
      <w:r w:rsidRPr="00E65474">
        <w:rPr>
          <w:color w:val="000000"/>
          <w:sz w:val="24"/>
          <w:szCs w:val="24"/>
        </w:rPr>
        <w:t>$5 billion.</w:t>
      </w:r>
    </w:p>
    <w:p w14:paraId="47B19E5D" w14:textId="13B1864A" w:rsidR="000C31E5" w:rsidRDefault="000C31E5">
      <w:pPr>
        <w:rPr>
          <w:i/>
          <w:color w:val="000000"/>
          <w:sz w:val="24"/>
          <w:szCs w:val="24"/>
        </w:rPr>
      </w:pPr>
    </w:p>
    <w:p w14:paraId="254C89EF" w14:textId="10F2A506" w:rsidR="00A77714" w:rsidRPr="00E65474" w:rsidRDefault="00A77714" w:rsidP="003D6920">
      <w:pPr>
        <w:widowControl w:val="0"/>
        <w:numPr>
          <w:ilvl w:val="0"/>
          <w:numId w:val="4"/>
        </w:numPr>
        <w:pBdr>
          <w:top w:val="nil"/>
          <w:left w:val="nil"/>
          <w:bottom w:val="nil"/>
          <w:right w:val="nil"/>
          <w:between w:val="nil"/>
        </w:pBdr>
        <w:tabs>
          <w:tab w:val="left" w:pos="450"/>
        </w:tabs>
        <w:spacing w:after="120"/>
        <w:ind w:left="357" w:hanging="119"/>
        <w:rPr>
          <w:i/>
          <w:color w:val="000000"/>
          <w:sz w:val="24"/>
          <w:szCs w:val="24"/>
        </w:rPr>
      </w:pPr>
      <w:r w:rsidRPr="00E65474">
        <w:rPr>
          <w:i/>
          <w:color w:val="000000"/>
          <w:sz w:val="24"/>
          <w:szCs w:val="24"/>
        </w:rPr>
        <w:t>How would a fall in the value of the pound sterling affect British consumers?</w:t>
      </w:r>
    </w:p>
    <w:p w14:paraId="04546241" w14:textId="54D28A5E" w:rsidR="00A77714" w:rsidRDefault="00A77714" w:rsidP="00A77714">
      <w:pPr>
        <w:widowControl w:val="0"/>
        <w:pBdr>
          <w:top w:val="nil"/>
          <w:left w:val="nil"/>
          <w:bottom w:val="nil"/>
          <w:right w:val="nil"/>
          <w:between w:val="nil"/>
        </w:pBdr>
        <w:tabs>
          <w:tab w:val="right" w:pos="270"/>
          <w:tab w:val="left" w:pos="450"/>
        </w:tabs>
        <w:spacing w:after="120"/>
        <w:ind w:left="360"/>
        <w:rPr>
          <w:color w:val="000000"/>
          <w:sz w:val="24"/>
          <w:szCs w:val="24"/>
        </w:rPr>
      </w:pPr>
      <w:r w:rsidRPr="00E65474">
        <w:rPr>
          <w:color w:val="000000"/>
          <w:sz w:val="24"/>
          <w:szCs w:val="24"/>
        </w:rPr>
        <w:t>It makes foreign goods more expensive, so British consumers will buy fewer foreign goods and more domestic goods.</w:t>
      </w:r>
    </w:p>
    <w:p w14:paraId="192AB0ED" w14:textId="77777777" w:rsidR="00A77714" w:rsidRPr="00E65474" w:rsidRDefault="00A77714" w:rsidP="003D6920">
      <w:pPr>
        <w:widowControl w:val="0"/>
        <w:numPr>
          <w:ilvl w:val="0"/>
          <w:numId w:val="4"/>
        </w:numPr>
        <w:pBdr>
          <w:top w:val="nil"/>
          <w:left w:val="nil"/>
          <w:bottom w:val="nil"/>
          <w:right w:val="nil"/>
          <w:between w:val="nil"/>
        </w:pBdr>
        <w:tabs>
          <w:tab w:val="left" w:pos="450"/>
        </w:tabs>
        <w:spacing w:after="120"/>
        <w:ind w:left="357" w:hanging="119"/>
        <w:rPr>
          <w:i/>
          <w:color w:val="000000"/>
          <w:sz w:val="24"/>
          <w:szCs w:val="24"/>
        </w:rPr>
      </w:pPr>
      <w:r w:rsidRPr="00E65474">
        <w:rPr>
          <w:i/>
          <w:color w:val="000000"/>
          <w:sz w:val="24"/>
          <w:szCs w:val="24"/>
        </w:rPr>
        <w:lastRenderedPageBreak/>
        <w:t>How would an increase in the value of the pound sterling affect Canadian businesses?</w:t>
      </w:r>
    </w:p>
    <w:p w14:paraId="39FA4770" w14:textId="00E0E8C3" w:rsidR="00A77714" w:rsidRDefault="00A77714" w:rsidP="0086690D">
      <w:pPr>
        <w:widowControl w:val="0"/>
        <w:pBdr>
          <w:top w:val="nil"/>
          <w:left w:val="nil"/>
          <w:bottom w:val="nil"/>
          <w:right w:val="nil"/>
          <w:between w:val="nil"/>
        </w:pBdr>
        <w:tabs>
          <w:tab w:val="right" w:pos="270"/>
          <w:tab w:val="left" w:pos="450"/>
        </w:tabs>
        <w:spacing w:after="120"/>
        <w:ind w:left="360"/>
        <w:rPr>
          <w:color w:val="000000"/>
          <w:sz w:val="24"/>
          <w:szCs w:val="24"/>
        </w:rPr>
      </w:pPr>
      <w:r w:rsidRPr="00E65474">
        <w:rPr>
          <w:color w:val="000000"/>
          <w:sz w:val="24"/>
          <w:szCs w:val="24"/>
        </w:rPr>
        <w:t>It makes British goods more expensive relative to Canadian goods. Thus, Canadian businesses will find it easier to sell their goods in Canada and in the United Kingdom, and the demand for their products will rise.</w:t>
      </w:r>
    </w:p>
    <w:p w14:paraId="4F4E3D88" w14:textId="77777777" w:rsidR="00624B63" w:rsidRPr="00E65474" w:rsidRDefault="00624B63" w:rsidP="00624B63">
      <w:pPr>
        <w:widowControl w:val="0"/>
        <w:pBdr>
          <w:top w:val="nil"/>
          <w:left w:val="nil"/>
          <w:bottom w:val="nil"/>
          <w:right w:val="nil"/>
          <w:between w:val="nil"/>
        </w:pBdr>
        <w:tabs>
          <w:tab w:val="right" w:pos="270"/>
          <w:tab w:val="left" w:pos="450"/>
        </w:tabs>
        <w:ind w:left="357"/>
        <w:rPr>
          <w:color w:val="000000"/>
          <w:sz w:val="24"/>
          <w:szCs w:val="24"/>
        </w:rPr>
      </w:pPr>
    </w:p>
    <w:p w14:paraId="51936522" w14:textId="77777777" w:rsidR="00A77714" w:rsidRPr="00E65474" w:rsidRDefault="00A77714" w:rsidP="003D6920">
      <w:pPr>
        <w:widowControl w:val="0"/>
        <w:numPr>
          <w:ilvl w:val="0"/>
          <w:numId w:val="4"/>
        </w:numPr>
        <w:pBdr>
          <w:top w:val="nil"/>
          <w:left w:val="nil"/>
          <w:bottom w:val="nil"/>
          <w:right w:val="nil"/>
          <w:between w:val="nil"/>
        </w:pBdr>
        <w:tabs>
          <w:tab w:val="left" w:pos="450"/>
        </w:tabs>
        <w:spacing w:after="120"/>
        <w:ind w:left="357" w:hanging="119"/>
        <w:rPr>
          <w:i/>
          <w:color w:val="000000"/>
          <w:sz w:val="24"/>
          <w:szCs w:val="24"/>
        </w:rPr>
      </w:pPr>
      <w:r w:rsidRPr="00E65474">
        <w:rPr>
          <w:i/>
          <w:color w:val="000000"/>
          <w:sz w:val="24"/>
          <w:szCs w:val="24"/>
        </w:rPr>
        <w:t>How can changes in foreign exchange rates affect the profitability of financial institutions?</w:t>
      </w:r>
    </w:p>
    <w:p w14:paraId="1E9BB434" w14:textId="77777777" w:rsidR="00A77714" w:rsidRPr="00E65474" w:rsidRDefault="00A77714" w:rsidP="0086690D">
      <w:pPr>
        <w:widowControl w:val="0"/>
        <w:pBdr>
          <w:top w:val="nil"/>
          <w:left w:val="nil"/>
          <w:bottom w:val="nil"/>
          <w:right w:val="nil"/>
          <w:between w:val="nil"/>
        </w:pBdr>
        <w:tabs>
          <w:tab w:val="right" w:pos="270"/>
          <w:tab w:val="left" w:pos="450"/>
        </w:tabs>
        <w:spacing w:after="120"/>
        <w:ind w:left="357"/>
        <w:rPr>
          <w:color w:val="000000"/>
          <w:sz w:val="24"/>
          <w:szCs w:val="24"/>
        </w:rPr>
      </w:pPr>
      <w:r w:rsidRPr="00E65474">
        <w:rPr>
          <w:color w:val="000000"/>
          <w:sz w:val="24"/>
          <w:szCs w:val="24"/>
        </w:rPr>
        <w:t>Changes in foreign exchange rates change the value of assets held by financial institutions and thus lead to gains and losses on these assets. Also changes in foreign exchange rates affect the profits made by traders in foreign exchange who work for financial institutions.</w:t>
      </w:r>
    </w:p>
    <w:p w14:paraId="565CE31D" w14:textId="77777777" w:rsidR="00A77714" w:rsidRPr="00E65474" w:rsidRDefault="00A77714" w:rsidP="000A1FEE">
      <w:pPr>
        <w:widowControl w:val="0"/>
        <w:pBdr>
          <w:top w:val="nil"/>
          <w:left w:val="nil"/>
          <w:bottom w:val="nil"/>
          <w:right w:val="nil"/>
          <w:between w:val="nil"/>
        </w:pBdr>
        <w:tabs>
          <w:tab w:val="right" w:pos="270"/>
          <w:tab w:val="left" w:pos="450"/>
        </w:tabs>
        <w:ind w:left="360"/>
        <w:rPr>
          <w:color w:val="000000"/>
          <w:sz w:val="24"/>
          <w:szCs w:val="24"/>
        </w:rPr>
      </w:pPr>
    </w:p>
    <w:p w14:paraId="4481C087" w14:textId="77777777" w:rsidR="00A77714" w:rsidRPr="00E65474" w:rsidRDefault="00A77714" w:rsidP="003D6920">
      <w:pPr>
        <w:widowControl w:val="0"/>
        <w:numPr>
          <w:ilvl w:val="0"/>
          <w:numId w:val="4"/>
        </w:numPr>
        <w:pBdr>
          <w:top w:val="nil"/>
          <w:left w:val="nil"/>
          <w:bottom w:val="nil"/>
          <w:right w:val="nil"/>
          <w:between w:val="nil"/>
        </w:pBdr>
        <w:tabs>
          <w:tab w:val="left" w:pos="450"/>
        </w:tabs>
        <w:spacing w:after="120"/>
        <w:ind w:left="357" w:hanging="119"/>
        <w:rPr>
          <w:i/>
          <w:color w:val="000000"/>
          <w:sz w:val="24"/>
          <w:szCs w:val="24"/>
        </w:rPr>
      </w:pPr>
      <w:r w:rsidRPr="00E65474">
        <w:rPr>
          <w:i/>
          <w:color w:val="000000"/>
          <w:sz w:val="24"/>
          <w:szCs w:val="24"/>
        </w:rPr>
        <w:t>According to Figure 1-8, in which years would you have chosen to visit the Canadian Rockies rather than Grand Canyon in Arizona?</w:t>
      </w:r>
    </w:p>
    <w:p w14:paraId="40C3D196" w14:textId="77777777" w:rsidR="00A77714" w:rsidRDefault="00A77714" w:rsidP="0086690D">
      <w:pPr>
        <w:widowControl w:val="0"/>
        <w:pBdr>
          <w:top w:val="nil"/>
          <w:left w:val="nil"/>
          <w:bottom w:val="nil"/>
          <w:right w:val="nil"/>
          <w:between w:val="nil"/>
        </w:pBdr>
        <w:tabs>
          <w:tab w:val="right" w:pos="270"/>
          <w:tab w:val="left" w:pos="450"/>
        </w:tabs>
        <w:spacing w:after="120"/>
        <w:ind w:left="357"/>
        <w:rPr>
          <w:color w:val="000000"/>
          <w:sz w:val="24"/>
          <w:szCs w:val="24"/>
        </w:rPr>
      </w:pPr>
      <w:r w:rsidRPr="00E65474">
        <w:rPr>
          <w:color w:val="000000"/>
          <w:sz w:val="24"/>
          <w:szCs w:val="24"/>
        </w:rPr>
        <w:t>In the mid-1980s and in the late 1990s, the value of the Canadian dollar was low, making travel abroad relatively more expensive; thus, it was a good time to vacation in Canada and see the Canadian Rockies. With the rise in the Canadian dollar’s value in the 2000s, travel abroad became relatively cheaper, making it a good time to visit the Grand Canyon. This was also true, to a lesser extent, in the early 20</w:t>
      </w:r>
      <w:r w:rsidR="00C15AFD">
        <w:rPr>
          <w:color w:val="000000"/>
          <w:sz w:val="24"/>
          <w:szCs w:val="24"/>
        </w:rPr>
        <w:t>2</w:t>
      </w:r>
      <w:r w:rsidRPr="00E65474">
        <w:rPr>
          <w:color w:val="000000"/>
          <w:sz w:val="24"/>
          <w:szCs w:val="24"/>
        </w:rPr>
        <w:t>0s.</w:t>
      </w:r>
    </w:p>
    <w:p w14:paraId="334C3977" w14:textId="77777777" w:rsidR="005A056F" w:rsidRPr="00E65474" w:rsidRDefault="005A056F" w:rsidP="000A1FEE">
      <w:pPr>
        <w:widowControl w:val="0"/>
        <w:pBdr>
          <w:top w:val="nil"/>
          <w:left w:val="nil"/>
          <w:bottom w:val="nil"/>
          <w:right w:val="nil"/>
          <w:between w:val="nil"/>
        </w:pBdr>
        <w:tabs>
          <w:tab w:val="right" w:pos="270"/>
          <w:tab w:val="left" w:pos="450"/>
        </w:tabs>
        <w:ind w:left="360"/>
        <w:rPr>
          <w:color w:val="000000"/>
          <w:sz w:val="24"/>
          <w:szCs w:val="24"/>
        </w:rPr>
      </w:pPr>
    </w:p>
    <w:p w14:paraId="0E455922" w14:textId="77777777" w:rsidR="00A77714" w:rsidRPr="00E65474" w:rsidRDefault="00A77714" w:rsidP="003D6920">
      <w:pPr>
        <w:widowControl w:val="0"/>
        <w:numPr>
          <w:ilvl w:val="0"/>
          <w:numId w:val="4"/>
        </w:numPr>
        <w:pBdr>
          <w:top w:val="nil"/>
          <w:left w:val="nil"/>
          <w:bottom w:val="nil"/>
          <w:right w:val="nil"/>
          <w:between w:val="nil"/>
        </w:pBdr>
        <w:tabs>
          <w:tab w:val="left" w:pos="450"/>
        </w:tabs>
        <w:spacing w:after="120"/>
        <w:ind w:left="357" w:hanging="119"/>
        <w:rPr>
          <w:i/>
          <w:color w:val="000000"/>
          <w:sz w:val="24"/>
          <w:szCs w:val="24"/>
        </w:rPr>
      </w:pPr>
      <w:r w:rsidRPr="00E65474">
        <w:rPr>
          <w:i/>
          <w:color w:val="000000"/>
          <w:sz w:val="24"/>
          <w:szCs w:val="24"/>
        </w:rPr>
        <w:t>When the dollar is worth more in relation to currencies of other countries, are you more likely to buy Canadian-made or foreign-made jeans? Are Canadian companies that manufacture jeans happier when the dollar is strong or when it is weak? What about a Canadian company that is in the business of importing jeans into Canada?</w:t>
      </w:r>
    </w:p>
    <w:p w14:paraId="15792B18" w14:textId="77777777" w:rsidR="00A77714" w:rsidRPr="00E65474" w:rsidRDefault="00A77714" w:rsidP="0086690D">
      <w:pPr>
        <w:widowControl w:val="0"/>
        <w:pBdr>
          <w:top w:val="nil"/>
          <w:left w:val="nil"/>
          <w:bottom w:val="nil"/>
          <w:right w:val="nil"/>
          <w:between w:val="nil"/>
        </w:pBdr>
        <w:tabs>
          <w:tab w:val="right" w:pos="270"/>
          <w:tab w:val="left" w:pos="450"/>
        </w:tabs>
        <w:spacing w:after="120"/>
        <w:ind w:left="357"/>
        <w:rPr>
          <w:color w:val="000000"/>
          <w:sz w:val="24"/>
          <w:szCs w:val="24"/>
        </w:rPr>
      </w:pPr>
      <w:r w:rsidRPr="00E65474">
        <w:rPr>
          <w:color w:val="000000"/>
          <w:sz w:val="24"/>
          <w:szCs w:val="24"/>
        </w:rPr>
        <w:t>When the dollar increases in value, foreign goods become less expensive relative to Canadian goods; thus, you are more likely to buy American-made jeans than Canadian-made jeans. The resulting drop in demand for Canadian-made jeans because of the strong dollar hurts Canadian jeans manufacturers. On the other hand, the Canadian company that imports jeans into Canada now finds that the demand for its product has risen, so it is better off when the dollar is strong.</w:t>
      </w:r>
    </w:p>
    <w:p w14:paraId="647704F8" w14:textId="77777777" w:rsidR="00A77714" w:rsidRPr="00E65474" w:rsidRDefault="00A77714" w:rsidP="000A1FEE">
      <w:pPr>
        <w:widowControl w:val="0"/>
        <w:pBdr>
          <w:top w:val="nil"/>
          <w:left w:val="nil"/>
          <w:bottom w:val="nil"/>
          <w:right w:val="nil"/>
          <w:between w:val="nil"/>
        </w:pBdr>
        <w:tabs>
          <w:tab w:val="right" w:pos="270"/>
          <w:tab w:val="left" w:pos="450"/>
        </w:tabs>
        <w:ind w:left="360"/>
        <w:rPr>
          <w:color w:val="000000"/>
          <w:sz w:val="24"/>
          <w:szCs w:val="24"/>
        </w:rPr>
      </w:pPr>
    </w:p>
    <w:p w14:paraId="45068259" w14:textId="77777777" w:rsidR="00A77714" w:rsidRPr="00E65474" w:rsidRDefault="00A77714" w:rsidP="003D6920">
      <w:pPr>
        <w:widowControl w:val="0"/>
        <w:numPr>
          <w:ilvl w:val="0"/>
          <w:numId w:val="4"/>
        </w:numPr>
        <w:pBdr>
          <w:top w:val="nil"/>
          <w:left w:val="nil"/>
          <w:bottom w:val="nil"/>
          <w:right w:val="nil"/>
          <w:between w:val="nil"/>
        </w:pBdr>
        <w:tabs>
          <w:tab w:val="left" w:pos="450"/>
        </w:tabs>
        <w:spacing w:after="120"/>
        <w:ind w:left="357" w:hanging="119"/>
        <w:rPr>
          <w:i/>
          <w:color w:val="000000"/>
          <w:sz w:val="24"/>
          <w:szCs w:val="24"/>
        </w:rPr>
      </w:pPr>
      <w:r w:rsidRPr="00E65474">
        <w:rPr>
          <w:i/>
          <w:color w:val="000000"/>
          <w:sz w:val="24"/>
          <w:szCs w:val="24"/>
        </w:rPr>
        <w:t>Much of the Canadian government debt is held by foreign investors as Canada bonds and bills. How do fluctuations in the dollar exchange rate affect the value of that debt held by foreigners?</w:t>
      </w:r>
    </w:p>
    <w:p w14:paraId="5500A954" w14:textId="5655D7DA" w:rsidR="00A77714" w:rsidRDefault="00A77714" w:rsidP="003D6920">
      <w:pPr>
        <w:widowControl w:val="0"/>
        <w:pBdr>
          <w:top w:val="nil"/>
          <w:left w:val="nil"/>
          <w:bottom w:val="nil"/>
          <w:right w:val="nil"/>
          <w:between w:val="nil"/>
        </w:pBdr>
        <w:tabs>
          <w:tab w:val="right" w:pos="270"/>
          <w:tab w:val="left" w:pos="450"/>
        </w:tabs>
        <w:spacing w:after="120"/>
        <w:ind w:left="360"/>
        <w:rPr>
          <w:rFonts w:asciiTheme="majorHAnsi" w:eastAsiaTheme="majorEastAsia" w:hAnsiTheme="majorHAnsi" w:cstheme="majorBidi"/>
          <w:color w:val="1F3763" w:themeColor="accent1" w:themeShade="7F"/>
          <w:sz w:val="24"/>
          <w:szCs w:val="24"/>
        </w:rPr>
      </w:pPr>
      <w:r w:rsidRPr="00E65474">
        <w:rPr>
          <w:color w:val="000000"/>
          <w:sz w:val="24"/>
          <w:szCs w:val="24"/>
        </w:rPr>
        <w:t>As the dollar becomes stronger (worth more) relative to a foreign currency, one dollar is equivalent to (can be exchanged for) more foreign currency. Thus, for a given face value of bond holdings, a stronger dollar will yield more home currency to foreigners, so the asset will be worth more to foreign investors. Likewise, a weak dollar will lead to foreign bond holdings worth less to foreigners.</w:t>
      </w:r>
      <w:r w:rsidR="005A056F">
        <w:rPr>
          <w:color w:val="000000"/>
          <w:sz w:val="24"/>
          <w:szCs w:val="24"/>
        </w:rPr>
        <w:br w:type="page"/>
      </w:r>
    </w:p>
    <w:p w14:paraId="156CD775" w14:textId="77777777" w:rsidR="00A77714" w:rsidRPr="00E65474" w:rsidRDefault="00A77714" w:rsidP="00A77714">
      <w:pPr>
        <w:pStyle w:val="Heading3"/>
      </w:pPr>
      <w:r w:rsidRPr="00E65474">
        <w:lastRenderedPageBreak/>
        <w:t>ANSWERS TO APPLIED PROBLEMS</w:t>
      </w:r>
    </w:p>
    <w:p w14:paraId="0B92521D" w14:textId="77777777" w:rsidR="00A77714" w:rsidRPr="00E65474" w:rsidRDefault="00A77714" w:rsidP="000A1FEE">
      <w:pPr>
        <w:keepNext/>
        <w:widowControl w:val="0"/>
        <w:pBdr>
          <w:top w:val="nil"/>
          <w:left w:val="nil"/>
          <w:bottom w:val="nil"/>
          <w:right w:val="nil"/>
          <w:between w:val="nil"/>
        </w:pBdr>
        <w:tabs>
          <w:tab w:val="left" w:pos="0"/>
        </w:tabs>
        <w:jc w:val="both"/>
        <w:rPr>
          <w:b/>
          <w:smallCaps/>
          <w:color w:val="000000"/>
          <w:sz w:val="24"/>
          <w:szCs w:val="24"/>
        </w:rPr>
      </w:pPr>
    </w:p>
    <w:p w14:paraId="0764D544" w14:textId="77777777" w:rsidR="00A77714" w:rsidRPr="00277920" w:rsidRDefault="00A77714" w:rsidP="003D6920">
      <w:pPr>
        <w:widowControl w:val="0"/>
        <w:numPr>
          <w:ilvl w:val="0"/>
          <w:numId w:val="4"/>
        </w:numPr>
        <w:pBdr>
          <w:top w:val="nil"/>
          <w:left w:val="nil"/>
          <w:bottom w:val="nil"/>
          <w:right w:val="nil"/>
          <w:between w:val="nil"/>
        </w:pBdr>
        <w:tabs>
          <w:tab w:val="left" w:pos="450"/>
        </w:tabs>
        <w:spacing w:after="120"/>
        <w:ind w:left="357" w:hanging="119"/>
        <w:rPr>
          <w:i/>
          <w:color w:val="000000"/>
          <w:sz w:val="24"/>
          <w:szCs w:val="24"/>
        </w:rPr>
      </w:pPr>
      <w:r w:rsidRPr="00E65474">
        <w:rPr>
          <w:i/>
          <w:color w:val="000000"/>
          <w:sz w:val="24"/>
          <w:szCs w:val="24"/>
        </w:rPr>
        <w:t>The following table lists the foreign exchange rate between U.S. dollars and British pounds (GBP) during May 20</w:t>
      </w:r>
      <w:r w:rsidR="007A09DE">
        <w:rPr>
          <w:i/>
          <w:color w:val="000000"/>
          <w:sz w:val="24"/>
          <w:szCs w:val="24"/>
        </w:rPr>
        <w:t>20</w:t>
      </w:r>
      <w:r w:rsidRPr="00E65474">
        <w:rPr>
          <w:i/>
          <w:color w:val="000000"/>
          <w:sz w:val="24"/>
          <w:szCs w:val="24"/>
        </w:rPr>
        <w:t>. Which day would have been the best for converting US$200 into British pounds? Which day would have been the worst? What would be the difference in pounds?</w:t>
      </w:r>
    </w:p>
    <w:tbl>
      <w:tblPr>
        <w:tblW w:w="0" w:type="auto"/>
        <w:tblInd w:w="2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8"/>
        <w:gridCol w:w="1512"/>
        <w:gridCol w:w="1458"/>
        <w:gridCol w:w="1092"/>
      </w:tblGrid>
      <w:tr w:rsidR="007A09DE" w:rsidRPr="009657B1" w14:paraId="27EBC3B9" w14:textId="77777777" w:rsidTr="001413E0">
        <w:trPr>
          <w:trHeight w:val="253"/>
        </w:trPr>
        <w:tc>
          <w:tcPr>
            <w:tcW w:w="998" w:type="dxa"/>
          </w:tcPr>
          <w:p w14:paraId="4256440E" w14:textId="77777777" w:rsidR="007A09DE" w:rsidRPr="00454250" w:rsidRDefault="007A09DE" w:rsidP="001413E0">
            <w:pPr>
              <w:pStyle w:val="TableParagraph"/>
              <w:kinsoku w:val="0"/>
              <w:overflowPunct w:val="0"/>
              <w:spacing w:before="1"/>
              <w:ind w:left="50"/>
              <w:rPr>
                <w:w w:val="110"/>
                <w:sz w:val="20"/>
                <w:szCs w:val="19"/>
              </w:rPr>
            </w:pPr>
            <w:r w:rsidRPr="00454250">
              <w:rPr>
                <w:w w:val="110"/>
                <w:sz w:val="20"/>
                <w:szCs w:val="19"/>
              </w:rPr>
              <w:t>05-01</w:t>
            </w:r>
          </w:p>
        </w:tc>
        <w:tc>
          <w:tcPr>
            <w:tcW w:w="1512" w:type="dxa"/>
          </w:tcPr>
          <w:p w14:paraId="027DA954" w14:textId="77777777" w:rsidR="007A09DE" w:rsidRPr="00454250" w:rsidRDefault="007A09DE" w:rsidP="001413E0">
            <w:pPr>
              <w:pStyle w:val="TableParagraph"/>
              <w:kinsoku w:val="0"/>
              <w:overflowPunct w:val="0"/>
              <w:spacing w:before="1"/>
              <w:ind w:right="476"/>
              <w:jc w:val="right"/>
              <w:rPr>
                <w:w w:val="110"/>
                <w:sz w:val="20"/>
                <w:szCs w:val="19"/>
              </w:rPr>
            </w:pPr>
            <w:r w:rsidRPr="00454250">
              <w:rPr>
                <w:w w:val="110"/>
                <w:sz w:val="20"/>
                <w:szCs w:val="19"/>
              </w:rPr>
              <w:t>1.2509</w:t>
            </w:r>
          </w:p>
        </w:tc>
        <w:tc>
          <w:tcPr>
            <w:tcW w:w="1458" w:type="dxa"/>
          </w:tcPr>
          <w:p w14:paraId="29D59FA2" w14:textId="77777777" w:rsidR="007A09DE" w:rsidRPr="00454250" w:rsidRDefault="007A09DE" w:rsidP="001413E0">
            <w:pPr>
              <w:pStyle w:val="TableParagraph"/>
              <w:kinsoku w:val="0"/>
              <w:overflowPunct w:val="0"/>
              <w:spacing w:before="1"/>
              <w:ind w:left="459" w:right="439"/>
              <w:rPr>
                <w:w w:val="110"/>
                <w:sz w:val="20"/>
                <w:szCs w:val="19"/>
              </w:rPr>
            </w:pPr>
            <w:r w:rsidRPr="00454250">
              <w:rPr>
                <w:w w:val="110"/>
                <w:sz w:val="20"/>
                <w:szCs w:val="19"/>
              </w:rPr>
              <w:t>05-18</w:t>
            </w:r>
          </w:p>
        </w:tc>
        <w:tc>
          <w:tcPr>
            <w:tcW w:w="1092" w:type="dxa"/>
          </w:tcPr>
          <w:p w14:paraId="0359D277" w14:textId="77777777" w:rsidR="007A09DE" w:rsidRPr="00454250" w:rsidRDefault="007A09DE" w:rsidP="001413E0">
            <w:pPr>
              <w:pStyle w:val="TableParagraph"/>
              <w:kinsoku w:val="0"/>
              <w:overflowPunct w:val="0"/>
              <w:spacing w:before="1"/>
              <w:ind w:left="445" w:right="31"/>
              <w:rPr>
                <w:w w:val="110"/>
                <w:sz w:val="20"/>
                <w:szCs w:val="19"/>
              </w:rPr>
            </w:pPr>
            <w:r w:rsidRPr="00454250">
              <w:rPr>
                <w:w w:val="110"/>
                <w:sz w:val="20"/>
                <w:szCs w:val="19"/>
              </w:rPr>
              <w:t>1.2211</w:t>
            </w:r>
          </w:p>
        </w:tc>
      </w:tr>
      <w:tr w:rsidR="007A09DE" w:rsidRPr="009657B1" w14:paraId="1D8CAD5C" w14:textId="77777777" w:rsidTr="001413E0">
        <w:trPr>
          <w:trHeight w:val="293"/>
        </w:trPr>
        <w:tc>
          <w:tcPr>
            <w:tcW w:w="998" w:type="dxa"/>
          </w:tcPr>
          <w:p w14:paraId="1AC0554B" w14:textId="77777777" w:rsidR="007A09DE" w:rsidRPr="00454250" w:rsidRDefault="007A09DE" w:rsidP="001413E0">
            <w:pPr>
              <w:pStyle w:val="TableParagraph"/>
              <w:kinsoku w:val="0"/>
              <w:overflowPunct w:val="0"/>
              <w:ind w:left="50"/>
              <w:rPr>
                <w:w w:val="110"/>
                <w:sz w:val="20"/>
                <w:szCs w:val="19"/>
              </w:rPr>
            </w:pPr>
            <w:r w:rsidRPr="00454250">
              <w:rPr>
                <w:w w:val="110"/>
                <w:sz w:val="20"/>
                <w:szCs w:val="19"/>
              </w:rPr>
              <w:t>05-04</w:t>
            </w:r>
          </w:p>
        </w:tc>
        <w:tc>
          <w:tcPr>
            <w:tcW w:w="1512" w:type="dxa"/>
          </w:tcPr>
          <w:p w14:paraId="5F94E3DA" w14:textId="77777777" w:rsidR="007A09DE" w:rsidRPr="00454250" w:rsidRDefault="007A09DE" w:rsidP="001413E0">
            <w:pPr>
              <w:pStyle w:val="TableParagraph"/>
              <w:kinsoku w:val="0"/>
              <w:overflowPunct w:val="0"/>
              <w:ind w:right="476"/>
              <w:jc w:val="right"/>
              <w:rPr>
                <w:w w:val="110"/>
                <w:sz w:val="20"/>
                <w:szCs w:val="19"/>
              </w:rPr>
            </w:pPr>
            <w:r w:rsidRPr="00454250">
              <w:rPr>
                <w:w w:val="110"/>
                <w:sz w:val="20"/>
                <w:szCs w:val="19"/>
              </w:rPr>
              <w:t>1.2430</w:t>
            </w:r>
          </w:p>
        </w:tc>
        <w:tc>
          <w:tcPr>
            <w:tcW w:w="1458" w:type="dxa"/>
          </w:tcPr>
          <w:p w14:paraId="6DF61894" w14:textId="77777777" w:rsidR="007A09DE" w:rsidRPr="00454250" w:rsidRDefault="007A09DE" w:rsidP="001413E0">
            <w:pPr>
              <w:pStyle w:val="TableParagraph"/>
              <w:kinsoku w:val="0"/>
              <w:overflowPunct w:val="0"/>
              <w:ind w:left="459" w:right="439"/>
              <w:rPr>
                <w:w w:val="110"/>
                <w:sz w:val="20"/>
                <w:szCs w:val="19"/>
              </w:rPr>
            </w:pPr>
            <w:r w:rsidRPr="00454250">
              <w:rPr>
                <w:w w:val="110"/>
                <w:sz w:val="20"/>
                <w:szCs w:val="19"/>
              </w:rPr>
              <w:t>05-19</w:t>
            </w:r>
          </w:p>
        </w:tc>
        <w:tc>
          <w:tcPr>
            <w:tcW w:w="1092" w:type="dxa"/>
          </w:tcPr>
          <w:p w14:paraId="1519E5AC" w14:textId="77777777" w:rsidR="007A09DE" w:rsidRPr="00454250" w:rsidRDefault="007A09DE" w:rsidP="001413E0">
            <w:pPr>
              <w:pStyle w:val="TableParagraph"/>
              <w:kinsoku w:val="0"/>
              <w:overflowPunct w:val="0"/>
              <w:ind w:left="445" w:right="31"/>
              <w:rPr>
                <w:w w:val="110"/>
                <w:sz w:val="20"/>
                <w:szCs w:val="19"/>
              </w:rPr>
            </w:pPr>
            <w:r w:rsidRPr="00454250">
              <w:rPr>
                <w:w w:val="110"/>
                <w:sz w:val="20"/>
                <w:szCs w:val="19"/>
              </w:rPr>
              <w:t>1.2255</w:t>
            </w:r>
          </w:p>
        </w:tc>
      </w:tr>
      <w:tr w:rsidR="007A09DE" w:rsidRPr="009657B1" w14:paraId="3C1F3FC1" w14:textId="77777777" w:rsidTr="001413E0">
        <w:trPr>
          <w:trHeight w:val="293"/>
        </w:trPr>
        <w:tc>
          <w:tcPr>
            <w:tcW w:w="998" w:type="dxa"/>
          </w:tcPr>
          <w:p w14:paraId="38E36CE7" w14:textId="77777777" w:rsidR="007A09DE" w:rsidRPr="00454250" w:rsidRDefault="007A09DE" w:rsidP="001413E0">
            <w:pPr>
              <w:pStyle w:val="TableParagraph"/>
              <w:kinsoku w:val="0"/>
              <w:overflowPunct w:val="0"/>
              <w:ind w:left="50"/>
              <w:rPr>
                <w:w w:val="110"/>
                <w:sz w:val="20"/>
                <w:szCs w:val="19"/>
              </w:rPr>
            </w:pPr>
            <w:r w:rsidRPr="00454250">
              <w:rPr>
                <w:w w:val="110"/>
                <w:sz w:val="20"/>
                <w:szCs w:val="19"/>
              </w:rPr>
              <w:t>05-05</w:t>
            </w:r>
          </w:p>
        </w:tc>
        <w:tc>
          <w:tcPr>
            <w:tcW w:w="1512" w:type="dxa"/>
          </w:tcPr>
          <w:p w14:paraId="07D5A287" w14:textId="77777777" w:rsidR="007A09DE" w:rsidRPr="00454250" w:rsidRDefault="007A09DE" w:rsidP="001413E0">
            <w:pPr>
              <w:pStyle w:val="TableParagraph"/>
              <w:kinsoku w:val="0"/>
              <w:overflowPunct w:val="0"/>
              <w:ind w:right="476"/>
              <w:jc w:val="right"/>
              <w:rPr>
                <w:w w:val="110"/>
                <w:sz w:val="20"/>
                <w:szCs w:val="19"/>
              </w:rPr>
            </w:pPr>
            <w:r w:rsidRPr="00454250">
              <w:rPr>
                <w:w w:val="110"/>
                <w:sz w:val="20"/>
                <w:szCs w:val="19"/>
              </w:rPr>
              <w:t>1.2449</w:t>
            </w:r>
          </w:p>
        </w:tc>
        <w:tc>
          <w:tcPr>
            <w:tcW w:w="1458" w:type="dxa"/>
          </w:tcPr>
          <w:p w14:paraId="29C8C8E5" w14:textId="77777777" w:rsidR="007A09DE" w:rsidRPr="00454250" w:rsidRDefault="007A09DE" w:rsidP="001413E0">
            <w:pPr>
              <w:pStyle w:val="TableParagraph"/>
              <w:kinsoku w:val="0"/>
              <w:overflowPunct w:val="0"/>
              <w:ind w:left="459" w:right="439"/>
              <w:rPr>
                <w:w w:val="110"/>
                <w:sz w:val="20"/>
                <w:szCs w:val="19"/>
              </w:rPr>
            </w:pPr>
            <w:r w:rsidRPr="00454250">
              <w:rPr>
                <w:w w:val="110"/>
                <w:sz w:val="20"/>
                <w:szCs w:val="19"/>
              </w:rPr>
              <w:t>05-20</w:t>
            </w:r>
          </w:p>
        </w:tc>
        <w:tc>
          <w:tcPr>
            <w:tcW w:w="1092" w:type="dxa"/>
          </w:tcPr>
          <w:p w14:paraId="16CFC758" w14:textId="77777777" w:rsidR="007A09DE" w:rsidRPr="00454250" w:rsidRDefault="007A09DE" w:rsidP="001413E0">
            <w:pPr>
              <w:pStyle w:val="TableParagraph"/>
              <w:kinsoku w:val="0"/>
              <w:overflowPunct w:val="0"/>
              <w:ind w:left="445" w:right="31"/>
              <w:rPr>
                <w:w w:val="110"/>
                <w:sz w:val="20"/>
                <w:szCs w:val="19"/>
              </w:rPr>
            </w:pPr>
            <w:r w:rsidRPr="00454250">
              <w:rPr>
                <w:w w:val="110"/>
                <w:sz w:val="20"/>
                <w:szCs w:val="19"/>
              </w:rPr>
              <w:t>1.2257</w:t>
            </w:r>
          </w:p>
        </w:tc>
      </w:tr>
      <w:tr w:rsidR="007A09DE" w:rsidRPr="009657B1" w14:paraId="441AEBE1" w14:textId="77777777" w:rsidTr="001413E0">
        <w:trPr>
          <w:trHeight w:val="293"/>
        </w:trPr>
        <w:tc>
          <w:tcPr>
            <w:tcW w:w="998" w:type="dxa"/>
          </w:tcPr>
          <w:p w14:paraId="15DD9F37" w14:textId="77777777" w:rsidR="007A09DE" w:rsidRPr="00454250" w:rsidRDefault="007A09DE" w:rsidP="001413E0">
            <w:pPr>
              <w:pStyle w:val="TableParagraph"/>
              <w:kinsoku w:val="0"/>
              <w:overflowPunct w:val="0"/>
              <w:ind w:left="50"/>
              <w:rPr>
                <w:w w:val="110"/>
                <w:sz w:val="20"/>
                <w:szCs w:val="19"/>
              </w:rPr>
            </w:pPr>
            <w:r w:rsidRPr="00454250">
              <w:rPr>
                <w:w w:val="110"/>
                <w:sz w:val="20"/>
                <w:szCs w:val="19"/>
              </w:rPr>
              <w:t>05-06</w:t>
            </w:r>
          </w:p>
        </w:tc>
        <w:tc>
          <w:tcPr>
            <w:tcW w:w="1512" w:type="dxa"/>
          </w:tcPr>
          <w:p w14:paraId="7231BB1F" w14:textId="77777777" w:rsidR="007A09DE" w:rsidRPr="00454250" w:rsidRDefault="007A09DE" w:rsidP="001413E0">
            <w:pPr>
              <w:pStyle w:val="TableParagraph"/>
              <w:kinsoku w:val="0"/>
              <w:overflowPunct w:val="0"/>
              <w:ind w:right="476"/>
              <w:jc w:val="right"/>
              <w:rPr>
                <w:w w:val="110"/>
                <w:sz w:val="20"/>
                <w:szCs w:val="19"/>
              </w:rPr>
            </w:pPr>
            <w:r w:rsidRPr="00454250">
              <w:rPr>
                <w:w w:val="110"/>
                <w:sz w:val="20"/>
                <w:szCs w:val="19"/>
              </w:rPr>
              <w:t>1.2347</w:t>
            </w:r>
          </w:p>
        </w:tc>
        <w:tc>
          <w:tcPr>
            <w:tcW w:w="1458" w:type="dxa"/>
          </w:tcPr>
          <w:p w14:paraId="78E492AA" w14:textId="77777777" w:rsidR="007A09DE" w:rsidRPr="00454250" w:rsidRDefault="007A09DE" w:rsidP="001413E0">
            <w:pPr>
              <w:pStyle w:val="TableParagraph"/>
              <w:kinsoku w:val="0"/>
              <w:overflowPunct w:val="0"/>
              <w:ind w:left="459" w:right="439"/>
              <w:rPr>
                <w:w w:val="110"/>
                <w:sz w:val="20"/>
                <w:szCs w:val="19"/>
              </w:rPr>
            </w:pPr>
            <w:r w:rsidRPr="00454250">
              <w:rPr>
                <w:w w:val="110"/>
                <w:sz w:val="20"/>
                <w:szCs w:val="19"/>
              </w:rPr>
              <w:t>05-21</w:t>
            </w:r>
          </w:p>
        </w:tc>
        <w:tc>
          <w:tcPr>
            <w:tcW w:w="1092" w:type="dxa"/>
          </w:tcPr>
          <w:p w14:paraId="73DB6E14" w14:textId="77777777" w:rsidR="007A09DE" w:rsidRPr="00454250" w:rsidRDefault="007A09DE" w:rsidP="001413E0">
            <w:pPr>
              <w:pStyle w:val="TableParagraph"/>
              <w:kinsoku w:val="0"/>
              <w:overflowPunct w:val="0"/>
              <w:ind w:left="445" w:right="31"/>
              <w:rPr>
                <w:w w:val="110"/>
                <w:sz w:val="20"/>
                <w:szCs w:val="19"/>
              </w:rPr>
            </w:pPr>
            <w:r w:rsidRPr="00454250">
              <w:rPr>
                <w:w w:val="110"/>
                <w:sz w:val="20"/>
                <w:szCs w:val="19"/>
              </w:rPr>
              <w:t>1.2227</w:t>
            </w:r>
          </w:p>
        </w:tc>
      </w:tr>
      <w:tr w:rsidR="007A09DE" w:rsidRPr="009657B1" w14:paraId="59A4B871" w14:textId="77777777" w:rsidTr="001413E0">
        <w:trPr>
          <w:trHeight w:val="293"/>
        </w:trPr>
        <w:tc>
          <w:tcPr>
            <w:tcW w:w="998" w:type="dxa"/>
          </w:tcPr>
          <w:p w14:paraId="57D7DEE5" w14:textId="77777777" w:rsidR="007A09DE" w:rsidRPr="00454250" w:rsidRDefault="007A09DE" w:rsidP="001413E0">
            <w:pPr>
              <w:pStyle w:val="TableParagraph"/>
              <w:kinsoku w:val="0"/>
              <w:overflowPunct w:val="0"/>
              <w:ind w:left="50"/>
              <w:rPr>
                <w:w w:val="110"/>
                <w:sz w:val="20"/>
                <w:szCs w:val="19"/>
              </w:rPr>
            </w:pPr>
            <w:r w:rsidRPr="00454250">
              <w:rPr>
                <w:w w:val="110"/>
                <w:sz w:val="20"/>
                <w:szCs w:val="19"/>
              </w:rPr>
              <w:t>05-07</w:t>
            </w:r>
          </w:p>
        </w:tc>
        <w:tc>
          <w:tcPr>
            <w:tcW w:w="1512" w:type="dxa"/>
          </w:tcPr>
          <w:p w14:paraId="0F8ECDF6" w14:textId="77777777" w:rsidR="007A09DE" w:rsidRPr="00454250" w:rsidRDefault="007A09DE" w:rsidP="001413E0">
            <w:pPr>
              <w:pStyle w:val="TableParagraph"/>
              <w:kinsoku w:val="0"/>
              <w:overflowPunct w:val="0"/>
              <w:ind w:right="476"/>
              <w:jc w:val="right"/>
              <w:rPr>
                <w:w w:val="110"/>
                <w:sz w:val="20"/>
                <w:szCs w:val="19"/>
              </w:rPr>
            </w:pPr>
            <w:r w:rsidRPr="00454250">
              <w:rPr>
                <w:w w:val="110"/>
                <w:sz w:val="20"/>
                <w:szCs w:val="19"/>
              </w:rPr>
              <w:t>1.2349</w:t>
            </w:r>
          </w:p>
        </w:tc>
        <w:tc>
          <w:tcPr>
            <w:tcW w:w="1458" w:type="dxa"/>
          </w:tcPr>
          <w:p w14:paraId="748016E1" w14:textId="77777777" w:rsidR="007A09DE" w:rsidRPr="00454250" w:rsidRDefault="007A09DE" w:rsidP="001413E0">
            <w:pPr>
              <w:pStyle w:val="TableParagraph"/>
              <w:kinsoku w:val="0"/>
              <w:overflowPunct w:val="0"/>
              <w:ind w:left="459" w:right="439"/>
              <w:rPr>
                <w:w w:val="110"/>
                <w:sz w:val="20"/>
                <w:szCs w:val="19"/>
              </w:rPr>
            </w:pPr>
            <w:r w:rsidRPr="00454250">
              <w:rPr>
                <w:w w:val="110"/>
                <w:sz w:val="20"/>
                <w:szCs w:val="19"/>
              </w:rPr>
              <w:t>05-22</w:t>
            </w:r>
          </w:p>
        </w:tc>
        <w:tc>
          <w:tcPr>
            <w:tcW w:w="1092" w:type="dxa"/>
          </w:tcPr>
          <w:p w14:paraId="70FA9EA3" w14:textId="77777777" w:rsidR="007A09DE" w:rsidRPr="00454250" w:rsidRDefault="007A09DE" w:rsidP="001413E0">
            <w:pPr>
              <w:pStyle w:val="TableParagraph"/>
              <w:kinsoku w:val="0"/>
              <w:overflowPunct w:val="0"/>
              <w:ind w:left="445" w:right="31"/>
              <w:rPr>
                <w:w w:val="110"/>
                <w:sz w:val="20"/>
                <w:szCs w:val="19"/>
              </w:rPr>
            </w:pPr>
            <w:r w:rsidRPr="00454250">
              <w:rPr>
                <w:w w:val="110"/>
                <w:sz w:val="20"/>
                <w:szCs w:val="19"/>
              </w:rPr>
              <w:t>1.2178</w:t>
            </w:r>
          </w:p>
        </w:tc>
      </w:tr>
      <w:tr w:rsidR="007A09DE" w:rsidRPr="009657B1" w14:paraId="7AC3041C" w14:textId="77777777" w:rsidTr="001413E0">
        <w:trPr>
          <w:trHeight w:val="293"/>
        </w:trPr>
        <w:tc>
          <w:tcPr>
            <w:tcW w:w="998" w:type="dxa"/>
          </w:tcPr>
          <w:p w14:paraId="1F44B02D" w14:textId="77777777" w:rsidR="007A09DE" w:rsidRPr="00454250" w:rsidRDefault="007A09DE" w:rsidP="001413E0">
            <w:pPr>
              <w:pStyle w:val="TableParagraph"/>
              <w:kinsoku w:val="0"/>
              <w:overflowPunct w:val="0"/>
              <w:ind w:left="50"/>
              <w:rPr>
                <w:w w:val="110"/>
                <w:sz w:val="20"/>
                <w:szCs w:val="19"/>
              </w:rPr>
            </w:pPr>
            <w:r w:rsidRPr="00454250">
              <w:rPr>
                <w:w w:val="110"/>
                <w:sz w:val="20"/>
                <w:szCs w:val="19"/>
              </w:rPr>
              <w:t>05-08</w:t>
            </w:r>
          </w:p>
        </w:tc>
        <w:tc>
          <w:tcPr>
            <w:tcW w:w="1512" w:type="dxa"/>
          </w:tcPr>
          <w:p w14:paraId="2927821F" w14:textId="77777777" w:rsidR="007A09DE" w:rsidRPr="00454250" w:rsidRDefault="007A09DE" w:rsidP="001413E0">
            <w:pPr>
              <w:pStyle w:val="TableParagraph"/>
              <w:kinsoku w:val="0"/>
              <w:overflowPunct w:val="0"/>
              <w:ind w:right="476"/>
              <w:jc w:val="right"/>
              <w:rPr>
                <w:w w:val="110"/>
                <w:sz w:val="20"/>
                <w:szCs w:val="19"/>
              </w:rPr>
            </w:pPr>
            <w:r w:rsidRPr="00454250">
              <w:rPr>
                <w:w w:val="110"/>
                <w:sz w:val="20"/>
                <w:szCs w:val="19"/>
              </w:rPr>
              <w:t>1.2436</w:t>
            </w:r>
          </w:p>
        </w:tc>
        <w:tc>
          <w:tcPr>
            <w:tcW w:w="1458" w:type="dxa"/>
          </w:tcPr>
          <w:p w14:paraId="6BB79595" w14:textId="77777777" w:rsidR="007A09DE" w:rsidRPr="00454250" w:rsidRDefault="007A09DE" w:rsidP="001413E0">
            <w:pPr>
              <w:pStyle w:val="TableParagraph"/>
              <w:kinsoku w:val="0"/>
              <w:overflowPunct w:val="0"/>
              <w:ind w:left="459" w:right="439"/>
              <w:rPr>
                <w:w w:val="110"/>
                <w:sz w:val="20"/>
                <w:szCs w:val="19"/>
              </w:rPr>
            </w:pPr>
            <w:r w:rsidRPr="00454250">
              <w:rPr>
                <w:w w:val="110"/>
                <w:sz w:val="20"/>
                <w:szCs w:val="19"/>
              </w:rPr>
              <w:t>05-25</w:t>
            </w:r>
          </w:p>
        </w:tc>
        <w:tc>
          <w:tcPr>
            <w:tcW w:w="1092" w:type="dxa"/>
          </w:tcPr>
          <w:p w14:paraId="7CF2696A" w14:textId="77777777" w:rsidR="007A09DE" w:rsidRPr="00454250" w:rsidRDefault="007A09DE" w:rsidP="001413E0">
            <w:pPr>
              <w:pStyle w:val="TableParagraph"/>
              <w:kinsoku w:val="0"/>
              <w:overflowPunct w:val="0"/>
              <w:ind w:left="353" w:right="31"/>
              <w:rPr>
                <w:sz w:val="20"/>
                <w:szCs w:val="19"/>
              </w:rPr>
            </w:pPr>
            <w:r w:rsidRPr="00454250">
              <w:rPr>
                <w:sz w:val="20"/>
                <w:szCs w:val="19"/>
              </w:rPr>
              <w:t>NA</w:t>
            </w:r>
          </w:p>
        </w:tc>
      </w:tr>
      <w:tr w:rsidR="007A09DE" w:rsidRPr="009657B1" w14:paraId="28085C90" w14:textId="77777777" w:rsidTr="001413E0">
        <w:trPr>
          <w:trHeight w:val="293"/>
        </w:trPr>
        <w:tc>
          <w:tcPr>
            <w:tcW w:w="998" w:type="dxa"/>
          </w:tcPr>
          <w:p w14:paraId="2681A913" w14:textId="77777777" w:rsidR="007A09DE" w:rsidRPr="00454250" w:rsidRDefault="007A09DE" w:rsidP="001413E0">
            <w:pPr>
              <w:pStyle w:val="TableParagraph"/>
              <w:kinsoku w:val="0"/>
              <w:overflowPunct w:val="0"/>
              <w:ind w:left="50"/>
              <w:rPr>
                <w:w w:val="110"/>
                <w:sz w:val="20"/>
                <w:szCs w:val="19"/>
              </w:rPr>
            </w:pPr>
            <w:r w:rsidRPr="00454250">
              <w:rPr>
                <w:w w:val="110"/>
                <w:sz w:val="20"/>
                <w:szCs w:val="19"/>
              </w:rPr>
              <w:t>05-11</w:t>
            </w:r>
          </w:p>
        </w:tc>
        <w:tc>
          <w:tcPr>
            <w:tcW w:w="1512" w:type="dxa"/>
          </w:tcPr>
          <w:p w14:paraId="573FFDF7" w14:textId="77777777" w:rsidR="007A09DE" w:rsidRPr="00454250" w:rsidRDefault="007A09DE" w:rsidP="001413E0">
            <w:pPr>
              <w:pStyle w:val="TableParagraph"/>
              <w:kinsoku w:val="0"/>
              <w:overflowPunct w:val="0"/>
              <w:ind w:right="476"/>
              <w:jc w:val="right"/>
              <w:rPr>
                <w:w w:val="110"/>
                <w:sz w:val="20"/>
                <w:szCs w:val="19"/>
              </w:rPr>
            </w:pPr>
            <w:r w:rsidRPr="00454250">
              <w:rPr>
                <w:w w:val="110"/>
                <w:sz w:val="20"/>
                <w:szCs w:val="19"/>
              </w:rPr>
              <w:t>1.2330</w:t>
            </w:r>
          </w:p>
        </w:tc>
        <w:tc>
          <w:tcPr>
            <w:tcW w:w="1458" w:type="dxa"/>
          </w:tcPr>
          <w:p w14:paraId="4CFED22F" w14:textId="77777777" w:rsidR="007A09DE" w:rsidRPr="00454250" w:rsidRDefault="007A09DE" w:rsidP="001413E0">
            <w:pPr>
              <w:pStyle w:val="TableParagraph"/>
              <w:kinsoku w:val="0"/>
              <w:overflowPunct w:val="0"/>
              <w:ind w:left="459" w:right="439"/>
              <w:rPr>
                <w:w w:val="110"/>
                <w:sz w:val="20"/>
                <w:szCs w:val="19"/>
              </w:rPr>
            </w:pPr>
            <w:r w:rsidRPr="00454250">
              <w:rPr>
                <w:w w:val="110"/>
                <w:sz w:val="20"/>
                <w:szCs w:val="19"/>
              </w:rPr>
              <w:t>05-26</w:t>
            </w:r>
          </w:p>
        </w:tc>
        <w:tc>
          <w:tcPr>
            <w:tcW w:w="1092" w:type="dxa"/>
          </w:tcPr>
          <w:p w14:paraId="66D22CAA" w14:textId="77777777" w:rsidR="007A09DE" w:rsidRPr="00454250" w:rsidRDefault="007A09DE" w:rsidP="001413E0">
            <w:pPr>
              <w:pStyle w:val="TableParagraph"/>
              <w:kinsoku w:val="0"/>
              <w:overflowPunct w:val="0"/>
              <w:ind w:left="445" w:right="31"/>
              <w:rPr>
                <w:w w:val="110"/>
                <w:sz w:val="20"/>
                <w:szCs w:val="19"/>
              </w:rPr>
            </w:pPr>
            <w:r w:rsidRPr="00454250">
              <w:rPr>
                <w:w w:val="110"/>
                <w:sz w:val="20"/>
                <w:szCs w:val="19"/>
              </w:rPr>
              <w:t>1.2337</w:t>
            </w:r>
          </w:p>
        </w:tc>
      </w:tr>
      <w:tr w:rsidR="007A09DE" w:rsidRPr="009657B1" w14:paraId="679B3876" w14:textId="77777777" w:rsidTr="001413E0">
        <w:trPr>
          <w:trHeight w:val="293"/>
        </w:trPr>
        <w:tc>
          <w:tcPr>
            <w:tcW w:w="998" w:type="dxa"/>
          </w:tcPr>
          <w:p w14:paraId="63D3BBE1" w14:textId="77777777" w:rsidR="007A09DE" w:rsidRPr="00454250" w:rsidRDefault="007A09DE" w:rsidP="001413E0">
            <w:pPr>
              <w:pStyle w:val="TableParagraph"/>
              <w:kinsoku w:val="0"/>
              <w:overflowPunct w:val="0"/>
              <w:ind w:left="50"/>
              <w:rPr>
                <w:w w:val="110"/>
                <w:sz w:val="20"/>
                <w:szCs w:val="19"/>
              </w:rPr>
            </w:pPr>
            <w:r w:rsidRPr="00454250">
              <w:rPr>
                <w:w w:val="110"/>
                <w:sz w:val="20"/>
                <w:szCs w:val="19"/>
              </w:rPr>
              <w:t>05-12</w:t>
            </w:r>
          </w:p>
        </w:tc>
        <w:tc>
          <w:tcPr>
            <w:tcW w:w="1512" w:type="dxa"/>
          </w:tcPr>
          <w:p w14:paraId="4CDB9016" w14:textId="77777777" w:rsidR="007A09DE" w:rsidRPr="00454250" w:rsidRDefault="007A09DE" w:rsidP="001413E0">
            <w:pPr>
              <w:pStyle w:val="TableParagraph"/>
              <w:kinsoku w:val="0"/>
              <w:overflowPunct w:val="0"/>
              <w:ind w:right="476"/>
              <w:jc w:val="right"/>
              <w:rPr>
                <w:w w:val="110"/>
                <w:sz w:val="20"/>
                <w:szCs w:val="19"/>
              </w:rPr>
            </w:pPr>
            <w:r w:rsidRPr="00454250">
              <w:rPr>
                <w:w w:val="110"/>
                <w:sz w:val="20"/>
                <w:szCs w:val="19"/>
              </w:rPr>
              <w:t>1.2299</w:t>
            </w:r>
          </w:p>
        </w:tc>
        <w:tc>
          <w:tcPr>
            <w:tcW w:w="1458" w:type="dxa"/>
          </w:tcPr>
          <w:p w14:paraId="1E3384AB" w14:textId="77777777" w:rsidR="007A09DE" w:rsidRPr="00454250" w:rsidRDefault="007A09DE" w:rsidP="001413E0">
            <w:pPr>
              <w:pStyle w:val="TableParagraph"/>
              <w:kinsoku w:val="0"/>
              <w:overflowPunct w:val="0"/>
              <w:ind w:left="459" w:right="439"/>
              <w:rPr>
                <w:w w:val="110"/>
                <w:sz w:val="20"/>
                <w:szCs w:val="19"/>
              </w:rPr>
            </w:pPr>
            <w:r w:rsidRPr="00454250">
              <w:rPr>
                <w:w w:val="110"/>
                <w:sz w:val="20"/>
                <w:szCs w:val="19"/>
              </w:rPr>
              <w:t>05-27</w:t>
            </w:r>
          </w:p>
        </w:tc>
        <w:tc>
          <w:tcPr>
            <w:tcW w:w="1092" w:type="dxa"/>
          </w:tcPr>
          <w:p w14:paraId="39756472" w14:textId="77777777" w:rsidR="007A09DE" w:rsidRPr="00454250" w:rsidRDefault="007A09DE" w:rsidP="001413E0">
            <w:pPr>
              <w:pStyle w:val="TableParagraph"/>
              <w:kinsoku w:val="0"/>
              <w:overflowPunct w:val="0"/>
              <w:ind w:left="445" w:right="31"/>
              <w:rPr>
                <w:w w:val="110"/>
                <w:sz w:val="20"/>
                <w:szCs w:val="19"/>
              </w:rPr>
            </w:pPr>
            <w:r w:rsidRPr="00454250">
              <w:rPr>
                <w:w w:val="110"/>
                <w:sz w:val="20"/>
                <w:szCs w:val="19"/>
              </w:rPr>
              <w:t>1.2231</w:t>
            </w:r>
          </w:p>
        </w:tc>
      </w:tr>
      <w:tr w:rsidR="007A09DE" w:rsidRPr="009657B1" w14:paraId="4B2551A7" w14:textId="77777777" w:rsidTr="001413E0">
        <w:trPr>
          <w:trHeight w:val="293"/>
        </w:trPr>
        <w:tc>
          <w:tcPr>
            <w:tcW w:w="998" w:type="dxa"/>
          </w:tcPr>
          <w:p w14:paraId="48D1F8E8" w14:textId="77777777" w:rsidR="007A09DE" w:rsidRPr="00454250" w:rsidRDefault="007A09DE" w:rsidP="001413E0">
            <w:pPr>
              <w:pStyle w:val="TableParagraph"/>
              <w:kinsoku w:val="0"/>
              <w:overflowPunct w:val="0"/>
              <w:ind w:left="50"/>
              <w:rPr>
                <w:w w:val="110"/>
                <w:sz w:val="20"/>
                <w:szCs w:val="19"/>
              </w:rPr>
            </w:pPr>
            <w:r w:rsidRPr="00454250">
              <w:rPr>
                <w:w w:val="110"/>
                <w:sz w:val="20"/>
                <w:szCs w:val="19"/>
              </w:rPr>
              <w:t>05-13</w:t>
            </w:r>
          </w:p>
        </w:tc>
        <w:tc>
          <w:tcPr>
            <w:tcW w:w="1512" w:type="dxa"/>
          </w:tcPr>
          <w:p w14:paraId="3A46C7A7" w14:textId="77777777" w:rsidR="007A09DE" w:rsidRPr="00454250" w:rsidRDefault="007A09DE" w:rsidP="001413E0">
            <w:pPr>
              <w:pStyle w:val="TableParagraph"/>
              <w:kinsoku w:val="0"/>
              <w:overflowPunct w:val="0"/>
              <w:ind w:right="476"/>
              <w:jc w:val="right"/>
              <w:rPr>
                <w:w w:val="110"/>
                <w:sz w:val="20"/>
                <w:szCs w:val="19"/>
              </w:rPr>
            </w:pPr>
            <w:r w:rsidRPr="00454250">
              <w:rPr>
                <w:w w:val="110"/>
                <w:sz w:val="20"/>
                <w:szCs w:val="19"/>
              </w:rPr>
              <w:t>1.2225</w:t>
            </w:r>
          </w:p>
        </w:tc>
        <w:tc>
          <w:tcPr>
            <w:tcW w:w="1458" w:type="dxa"/>
          </w:tcPr>
          <w:p w14:paraId="486636AC" w14:textId="77777777" w:rsidR="007A09DE" w:rsidRPr="00454250" w:rsidRDefault="007A09DE" w:rsidP="001413E0">
            <w:pPr>
              <w:pStyle w:val="TableParagraph"/>
              <w:kinsoku w:val="0"/>
              <w:overflowPunct w:val="0"/>
              <w:ind w:left="459" w:right="439"/>
              <w:rPr>
                <w:w w:val="110"/>
                <w:sz w:val="20"/>
                <w:szCs w:val="19"/>
              </w:rPr>
            </w:pPr>
            <w:r w:rsidRPr="00454250">
              <w:rPr>
                <w:w w:val="110"/>
                <w:sz w:val="20"/>
                <w:szCs w:val="19"/>
              </w:rPr>
              <w:t>05-28</w:t>
            </w:r>
          </w:p>
        </w:tc>
        <w:tc>
          <w:tcPr>
            <w:tcW w:w="1092" w:type="dxa"/>
          </w:tcPr>
          <w:p w14:paraId="144C38A2" w14:textId="77777777" w:rsidR="007A09DE" w:rsidRPr="00454250" w:rsidRDefault="007A09DE" w:rsidP="001413E0">
            <w:pPr>
              <w:pStyle w:val="TableParagraph"/>
              <w:kinsoku w:val="0"/>
              <w:overflowPunct w:val="0"/>
              <w:ind w:left="445" w:right="31"/>
              <w:rPr>
                <w:w w:val="110"/>
                <w:sz w:val="20"/>
                <w:szCs w:val="19"/>
              </w:rPr>
            </w:pPr>
            <w:r w:rsidRPr="00454250">
              <w:rPr>
                <w:w w:val="110"/>
                <w:sz w:val="20"/>
                <w:szCs w:val="19"/>
              </w:rPr>
              <w:t>1.2325</w:t>
            </w:r>
          </w:p>
        </w:tc>
      </w:tr>
      <w:tr w:rsidR="007A09DE" w:rsidRPr="009657B1" w14:paraId="14DE829E" w14:textId="77777777" w:rsidTr="001413E0">
        <w:trPr>
          <w:trHeight w:val="293"/>
        </w:trPr>
        <w:tc>
          <w:tcPr>
            <w:tcW w:w="998" w:type="dxa"/>
          </w:tcPr>
          <w:p w14:paraId="71BA5359" w14:textId="77777777" w:rsidR="007A09DE" w:rsidRPr="00454250" w:rsidRDefault="007A09DE" w:rsidP="001413E0">
            <w:pPr>
              <w:pStyle w:val="TableParagraph"/>
              <w:kinsoku w:val="0"/>
              <w:overflowPunct w:val="0"/>
              <w:ind w:left="50"/>
              <w:rPr>
                <w:w w:val="110"/>
                <w:sz w:val="20"/>
                <w:szCs w:val="19"/>
              </w:rPr>
            </w:pPr>
            <w:r w:rsidRPr="00454250">
              <w:rPr>
                <w:w w:val="110"/>
                <w:sz w:val="20"/>
                <w:szCs w:val="19"/>
              </w:rPr>
              <w:t>05-14</w:t>
            </w:r>
          </w:p>
        </w:tc>
        <w:tc>
          <w:tcPr>
            <w:tcW w:w="1512" w:type="dxa"/>
          </w:tcPr>
          <w:p w14:paraId="141C7BD0" w14:textId="77777777" w:rsidR="007A09DE" w:rsidRPr="00454250" w:rsidRDefault="007A09DE" w:rsidP="001413E0">
            <w:pPr>
              <w:pStyle w:val="TableParagraph"/>
              <w:kinsoku w:val="0"/>
              <w:overflowPunct w:val="0"/>
              <w:ind w:right="476"/>
              <w:jc w:val="right"/>
              <w:rPr>
                <w:w w:val="110"/>
                <w:sz w:val="20"/>
                <w:szCs w:val="19"/>
              </w:rPr>
            </w:pPr>
            <w:r w:rsidRPr="00454250">
              <w:rPr>
                <w:w w:val="110"/>
                <w:sz w:val="20"/>
                <w:szCs w:val="19"/>
              </w:rPr>
              <w:t>1.2194</w:t>
            </w:r>
          </w:p>
        </w:tc>
        <w:tc>
          <w:tcPr>
            <w:tcW w:w="1458" w:type="dxa"/>
          </w:tcPr>
          <w:p w14:paraId="23C6A56B" w14:textId="77777777" w:rsidR="007A09DE" w:rsidRPr="00454250" w:rsidRDefault="007A09DE" w:rsidP="001413E0">
            <w:pPr>
              <w:pStyle w:val="TableParagraph"/>
              <w:kinsoku w:val="0"/>
              <w:overflowPunct w:val="0"/>
              <w:ind w:left="459" w:right="439"/>
              <w:rPr>
                <w:w w:val="110"/>
                <w:sz w:val="20"/>
                <w:szCs w:val="19"/>
              </w:rPr>
            </w:pPr>
            <w:r w:rsidRPr="00454250">
              <w:rPr>
                <w:w w:val="110"/>
                <w:sz w:val="20"/>
                <w:szCs w:val="19"/>
              </w:rPr>
              <w:t>05-29</w:t>
            </w:r>
          </w:p>
        </w:tc>
        <w:tc>
          <w:tcPr>
            <w:tcW w:w="1092" w:type="dxa"/>
          </w:tcPr>
          <w:p w14:paraId="16C4BEF5" w14:textId="77777777" w:rsidR="007A09DE" w:rsidRPr="00454250" w:rsidRDefault="007A09DE" w:rsidP="001413E0">
            <w:pPr>
              <w:pStyle w:val="TableParagraph"/>
              <w:kinsoku w:val="0"/>
              <w:overflowPunct w:val="0"/>
              <w:ind w:left="445" w:right="31"/>
              <w:rPr>
                <w:w w:val="110"/>
                <w:sz w:val="20"/>
                <w:szCs w:val="19"/>
              </w:rPr>
            </w:pPr>
            <w:r w:rsidRPr="00454250">
              <w:rPr>
                <w:w w:val="110"/>
                <w:sz w:val="20"/>
                <w:szCs w:val="19"/>
              </w:rPr>
              <w:t>1.2320</w:t>
            </w:r>
          </w:p>
        </w:tc>
      </w:tr>
      <w:tr w:rsidR="007A09DE" w:rsidRPr="009657B1" w14:paraId="2929C13D" w14:textId="77777777" w:rsidTr="001413E0">
        <w:trPr>
          <w:trHeight w:val="253"/>
        </w:trPr>
        <w:tc>
          <w:tcPr>
            <w:tcW w:w="998" w:type="dxa"/>
          </w:tcPr>
          <w:p w14:paraId="3745910F" w14:textId="77777777" w:rsidR="007A09DE" w:rsidRPr="00454250" w:rsidRDefault="007A09DE" w:rsidP="001413E0">
            <w:pPr>
              <w:pStyle w:val="TableParagraph"/>
              <w:kinsoku w:val="0"/>
              <w:overflowPunct w:val="0"/>
              <w:spacing w:line="192" w:lineRule="exact"/>
              <w:ind w:left="50"/>
              <w:rPr>
                <w:w w:val="110"/>
                <w:sz w:val="20"/>
                <w:szCs w:val="19"/>
              </w:rPr>
            </w:pPr>
            <w:r w:rsidRPr="00454250">
              <w:rPr>
                <w:w w:val="110"/>
                <w:sz w:val="20"/>
                <w:szCs w:val="19"/>
              </w:rPr>
              <w:t>05-15</w:t>
            </w:r>
          </w:p>
        </w:tc>
        <w:tc>
          <w:tcPr>
            <w:tcW w:w="1512" w:type="dxa"/>
          </w:tcPr>
          <w:p w14:paraId="02DAC5FE" w14:textId="77777777" w:rsidR="007A09DE" w:rsidRPr="00454250" w:rsidRDefault="007A09DE" w:rsidP="001413E0">
            <w:pPr>
              <w:pStyle w:val="TableParagraph"/>
              <w:kinsoku w:val="0"/>
              <w:overflowPunct w:val="0"/>
              <w:spacing w:line="192" w:lineRule="exact"/>
              <w:ind w:right="476"/>
              <w:jc w:val="right"/>
              <w:rPr>
                <w:w w:val="110"/>
                <w:sz w:val="20"/>
                <w:szCs w:val="19"/>
              </w:rPr>
            </w:pPr>
            <w:r w:rsidRPr="00454250">
              <w:rPr>
                <w:w w:val="110"/>
                <w:sz w:val="20"/>
                <w:szCs w:val="19"/>
              </w:rPr>
              <w:t>1.2129</w:t>
            </w:r>
          </w:p>
        </w:tc>
        <w:tc>
          <w:tcPr>
            <w:tcW w:w="1458" w:type="dxa"/>
          </w:tcPr>
          <w:p w14:paraId="1DEA5713" w14:textId="77777777" w:rsidR="007A09DE" w:rsidRPr="009657B1" w:rsidRDefault="007A09DE" w:rsidP="001413E0">
            <w:pPr>
              <w:pStyle w:val="TableParagraph"/>
              <w:kinsoku w:val="0"/>
              <w:overflowPunct w:val="0"/>
              <w:rPr>
                <w:sz w:val="18"/>
                <w:szCs w:val="18"/>
              </w:rPr>
            </w:pPr>
          </w:p>
        </w:tc>
        <w:tc>
          <w:tcPr>
            <w:tcW w:w="1092" w:type="dxa"/>
          </w:tcPr>
          <w:p w14:paraId="421B376A" w14:textId="77777777" w:rsidR="007A09DE" w:rsidRPr="00454250" w:rsidRDefault="007A09DE" w:rsidP="001413E0">
            <w:pPr>
              <w:pStyle w:val="TableParagraph"/>
              <w:kinsoku w:val="0"/>
              <w:overflowPunct w:val="0"/>
              <w:rPr>
                <w:sz w:val="20"/>
                <w:szCs w:val="18"/>
              </w:rPr>
            </w:pPr>
          </w:p>
        </w:tc>
      </w:tr>
    </w:tbl>
    <w:p w14:paraId="41E711EF" w14:textId="77777777" w:rsidR="00277920" w:rsidRDefault="00277920" w:rsidP="00A77714">
      <w:pPr>
        <w:widowControl w:val="0"/>
        <w:pBdr>
          <w:top w:val="nil"/>
          <w:left w:val="nil"/>
          <w:bottom w:val="nil"/>
          <w:right w:val="nil"/>
          <w:between w:val="nil"/>
        </w:pBdr>
        <w:tabs>
          <w:tab w:val="right" w:pos="270"/>
          <w:tab w:val="left" w:pos="450"/>
        </w:tabs>
        <w:spacing w:after="120"/>
        <w:ind w:left="360"/>
        <w:rPr>
          <w:i/>
          <w:color w:val="000000"/>
          <w:sz w:val="24"/>
          <w:szCs w:val="24"/>
        </w:rPr>
      </w:pPr>
    </w:p>
    <w:p w14:paraId="58A7D052" w14:textId="77777777" w:rsidR="00A77714" w:rsidRPr="00E65474" w:rsidRDefault="00A77714" w:rsidP="00A77714">
      <w:pPr>
        <w:widowControl w:val="0"/>
        <w:pBdr>
          <w:top w:val="nil"/>
          <w:left w:val="nil"/>
          <w:bottom w:val="nil"/>
          <w:right w:val="nil"/>
          <w:between w:val="nil"/>
        </w:pBdr>
        <w:tabs>
          <w:tab w:val="right" w:pos="270"/>
          <w:tab w:val="left" w:pos="450"/>
        </w:tabs>
        <w:spacing w:after="120"/>
        <w:ind w:left="360"/>
        <w:rPr>
          <w:color w:val="000000"/>
          <w:sz w:val="24"/>
          <w:szCs w:val="24"/>
        </w:rPr>
      </w:pPr>
      <w:r w:rsidRPr="00E65474">
        <w:rPr>
          <w:color w:val="000000"/>
          <w:sz w:val="24"/>
          <w:szCs w:val="24"/>
        </w:rPr>
        <w:t>The best day is 5/</w:t>
      </w:r>
      <w:r w:rsidR="007A09DE">
        <w:rPr>
          <w:color w:val="000000"/>
          <w:sz w:val="24"/>
          <w:szCs w:val="24"/>
        </w:rPr>
        <w:t>15</w:t>
      </w:r>
      <w:r w:rsidRPr="00E65474">
        <w:rPr>
          <w:color w:val="000000"/>
          <w:sz w:val="24"/>
          <w:szCs w:val="24"/>
        </w:rPr>
        <w:t>. At a rate of US$1.2</w:t>
      </w:r>
      <w:r w:rsidR="007A09DE">
        <w:rPr>
          <w:color w:val="000000"/>
          <w:sz w:val="24"/>
          <w:szCs w:val="24"/>
        </w:rPr>
        <w:t>129</w:t>
      </w:r>
      <w:r w:rsidRPr="00E65474">
        <w:rPr>
          <w:color w:val="000000"/>
          <w:sz w:val="24"/>
          <w:szCs w:val="24"/>
        </w:rPr>
        <w:t>/pound, you would have £</w:t>
      </w:r>
      <w:r w:rsidR="007A09DE">
        <w:rPr>
          <w:color w:val="000000"/>
          <w:sz w:val="24"/>
          <w:szCs w:val="24"/>
        </w:rPr>
        <w:t>164.89</w:t>
      </w:r>
      <w:r w:rsidRPr="00E65474">
        <w:rPr>
          <w:color w:val="000000"/>
          <w:sz w:val="24"/>
          <w:szCs w:val="24"/>
        </w:rPr>
        <w:t>. The worst day is 5/</w:t>
      </w:r>
      <w:r w:rsidR="007A09DE">
        <w:rPr>
          <w:color w:val="000000"/>
          <w:sz w:val="24"/>
          <w:szCs w:val="24"/>
        </w:rPr>
        <w:t>01</w:t>
      </w:r>
      <w:r w:rsidRPr="00E65474">
        <w:rPr>
          <w:color w:val="000000"/>
          <w:sz w:val="24"/>
          <w:szCs w:val="24"/>
        </w:rPr>
        <w:t>. At US$1.</w:t>
      </w:r>
      <w:r w:rsidR="007A09DE">
        <w:rPr>
          <w:color w:val="000000"/>
          <w:sz w:val="24"/>
          <w:szCs w:val="24"/>
        </w:rPr>
        <w:t>2509</w:t>
      </w:r>
      <w:r w:rsidRPr="00E65474">
        <w:rPr>
          <w:color w:val="000000"/>
          <w:sz w:val="24"/>
          <w:szCs w:val="24"/>
        </w:rPr>
        <w:t>/pound, you would have £15</w:t>
      </w:r>
      <w:r w:rsidR="007A09DE">
        <w:rPr>
          <w:color w:val="000000"/>
          <w:sz w:val="24"/>
          <w:szCs w:val="24"/>
        </w:rPr>
        <w:t>9.88</w:t>
      </w:r>
      <w:r w:rsidRPr="00E65474">
        <w:rPr>
          <w:color w:val="000000"/>
          <w:sz w:val="24"/>
          <w:szCs w:val="24"/>
        </w:rPr>
        <w:t>, or a difference of £</w:t>
      </w:r>
      <w:r w:rsidR="007A09DE">
        <w:rPr>
          <w:color w:val="000000"/>
          <w:sz w:val="24"/>
          <w:szCs w:val="24"/>
        </w:rPr>
        <w:t>5.01</w:t>
      </w:r>
      <w:r w:rsidRPr="00E65474">
        <w:rPr>
          <w:color w:val="000000"/>
          <w:sz w:val="24"/>
          <w:szCs w:val="24"/>
        </w:rPr>
        <w:t>.</w:t>
      </w:r>
    </w:p>
    <w:p w14:paraId="38EFB31B" w14:textId="77777777" w:rsidR="00277920" w:rsidRDefault="00277920" w:rsidP="00A77714">
      <w:pPr>
        <w:pStyle w:val="Heading3"/>
      </w:pPr>
    </w:p>
    <w:p w14:paraId="5EB6DA10" w14:textId="77777777" w:rsidR="00A77714" w:rsidRPr="00E65474" w:rsidRDefault="00A77714" w:rsidP="00A77714">
      <w:pPr>
        <w:pStyle w:val="Heading3"/>
      </w:pPr>
      <w:r w:rsidRPr="00E65474">
        <w:t>ANSWERS TO DATA ANALYSIS PROBLEMS</w:t>
      </w:r>
    </w:p>
    <w:p w14:paraId="27D88E0D" w14:textId="77777777" w:rsidR="00A77714" w:rsidRPr="00E65474" w:rsidRDefault="00A77714" w:rsidP="000A1FEE">
      <w:pPr>
        <w:keepNext/>
        <w:widowControl w:val="0"/>
        <w:pBdr>
          <w:top w:val="nil"/>
          <w:left w:val="nil"/>
          <w:bottom w:val="nil"/>
          <w:right w:val="nil"/>
          <w:between w:val="nil"/>
        </w:pBdr>
        <w:tabs>
          <w:tab w:val="left" w:pos="0"/>
        </w:tabs>
        <w:jc w:val="both"/>
        <w:rPr>
          <w:b/>
          <w:smallCaps/>
          <w:color w:val="000000"/>
          <w:sz w:val="24"/>
          <w:szCs w:val="24"/>
        </w:rPr>
      </w:pPr>
    </w:p>
    <w:p w14:paraId="39CE5453" w14:textId="77777777" w:rsidR="00A77714" w:rsidRPr="00E65474" w:rsidRDefault="00A77714" w:rsidP="00460E07">
      <w:pPr>
        <w:numPr>
          <w:ilvl w:val="0"/>
          <w:numId w:val="2"/>
        </w:numPr>
        <w:ind w:left="364"/>
        <w:rPr>
          <w:i/>
          <w:sz w:val="24"/>
          <w:szCs w:val="24"/>
        </w:rPr>
      </w:pPr>
      <w:r w:rsidRPr="00E65474">
        <w:rPr>
          <w:i/>
          <w:sz w:val="24"/>
          <w:szCs w:val="24"/>
        </w:rPr>
        <w:t xml:space="preserve">Go to the Statistics Canada CANSIM database, and find data on the M2++ (gross) money supply and the 10-year Canada bond rate from January 2000 to </w:t>
      </w:r>
      <w:r w:rsidR="009A0D9E">
        <w:rPr>
          <w:i/>
          <w:sz w:val="24"/>
          <w:szCs w:val="24"/>
        </w:rPr>
        <w:t>November 2000</w:t>
      </w:r>
      <w:r w:rsidRPr="00E65474">
        <w:rPr>
          <w:i/>
          <w:sz w:val="24"/>
          <w:szCs w:val="24"/>
        </w:rPr>
        <w:t>. Add the two series into a single graph. Transform the M2++ money supply variable into the M2++ growth rate by adjusting the units for the M2++ money supply to “Percent Change from Year Ago.”</w:t>
      </w:r>
    </w:p>
    <w:p w14:paraId="3B85D88F" w14:textId="77777777" w:rsidR="00A77714" w:rsidRPr="00E65474" w:rsidRDefault="00A77714" w:rsidP="00A77714">
      <w:pPr>
        <w:numPr>
          <w:ilvl w:val="0"/>
          <w:numId w:val="3"/>
        </w:numPr>
        <w:spacing w:before="120" w:after="120"/>
        <w:ind w:left="714" w:hanging="357"/>
        <w:rPr>
          <w:i/>
          <w:sz w:val="24"/>
          <w:szCs w:val="24"/>
        </w:rPr>
      </w:pPr>
      <w:r w:rsidRPr="00E65474">
        <w:rPr>
          <w:i/>
          <w:sz w:val="24"/>
          <w:szCs w:val="24"/>
        </w:rPr>
        <w:t>In general, how have the growth rate of the M2++ money supply and the 10-year Canada bond rate behaved during recessions and during expansionary periods since the year 2000?</w:t>
      </w:r>
    </w:p>
    <w:p w14:paraId="18D1A8B7" w14:textId="77777777" w:rsidR="00A77714" w:rsidRDefault="00A77714" w:rsidP="00A77714">
      <w:pPr>
        <w:ind w:left="720"/>
        <w:rPr>
          <w:sz w:val="24"/>
          <w:szCs w:val="24"/>
        </w:rPr>
      </w:pPr>
      <w:r w:rsidRPr="00E65474">
        <w:rPr>
          <w:sz w:val="24"/>
          <w:szCs w:val="24"/>
        </w:rPr>
        <w:t>Since the year 2000, during both recessions and expansions, the 10-year Canada bond rate shows an overall declining trend. The M2++ money supply growth rate, on the other hand, shows a cyclical pattern. The growth rate of M2++ is positive throughout the years, but it does not show any consistent pattern in recessions and expansions, as can be seen in the following figure (in which shaded areas represent recessions</w:t>
      </w:r>
      <w:r w:rsidR="009A0D9E">
        <w:rPr>
          <w:sz w:val="24"/>
          <w:szCs w:val="24"/>
        </w:rPr>
        <w:t xml:space="preserve"> based on the FRED recession indicator, CANRE</w:t>
      </w:r>
      <w:r w:rsidR="008C47DF">
        <w:rPr>
          <w:sz w:val="24"/>
          <w:szCs w:val="24"/>
        </w:rPr>
        <w:t>C</w:t>
      </w:r>
      <w:r w:rsidR="009A0D9E">
        <w:rPr>
          <w:sz w:val="24"/>
          <w:szCs w:val="24"/>
        </w:rPr>
        <w:t>M</w:t>
      </w:r>
      <w:r w:rsidRPr="00E65474">
        <w:rPr>
          <w:sz w:val="24"/>
          <w:szCs w:val="24"/>
        </w:rPr>
        <w:t>).</w:t>
      </w:r>
    </w:p>
    <w:p w14:paraId="3E4221E3" w14:textId="77777777" w:rsidR="009A0D9E" w:rsidRDefault="009A0D9E" w:rsidP="00A77714">
      <w:pPr>
        <w:ind w:left="720"/>
        <w:rPr>
          <w:sz w:val="24"/>
          <w:szCs w:val="24"/>
        </w:rPr>
      </w:pPr>
    </w:p>
    <w:p w14:paraId="0A1ADE28" w14:textId="77777777" w:rsidR="009A0D9E" w:rsidRPr="00E65474" w:rsidRDefault="009A0D9E" w:rsidP="00A77714">
      <w:pPr>
        <w:ind w:left="720"/>
        <w:rPr>
          <w:sz w:val="24"/>
          <w:szCs w:val="24"/>
        </w:rPr>
      </w:pPr>
      <w:r>
        <w:rPr>
          <w:noProof/>
          <w:lang w:eastAsia="en-CA"/>
        </w:rPr>
        <w:lastRenderedPageBreak/>
        <w:drawing>
          <wp:anchor distT="0" distB="0" distL="114300" distR="114300" simplePos="0" relativeHeight="251658240" behindDoc="0" locked="0" layoutInCell="1" allowOverlap="1" wp14:anchorId="3B685917" wp14:editId="59894C6E">
            <wp:simplePos x="0" y="0"/>
            <wp:positionH relativeFrom="margin">
              <wp:align>right</wp:align>
            </wp:positionH>
            <wp:positionV relativeFrom="paragraph">
              <wp:posOffset>206679</wp:posOffset>
            </wp:positionV>
            <wp:extent cx="5943600" cy="4314190"/>
            <wp:effectExtent l="0" t="0" r="0" b="10160"/>
            <wp:wrapSquare wrapText="bothSides"/>
            <wp:docPr id="1" name="Chart 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43C94C18" w14:textId="77777777" w:rsidR="00A77714" w:rsidRPr="00E65474" w:rsidRDefault="00A77714" w:rsidP="00A77714">
      <w:pPr>
        <w:ind w:left="720"/>
        <w:rPr>
          <w:sz w:val="24"/>
          <w:szCs w:val="24"/>
        </w:rPr>
      </w:pPr>
    </w:p>
    <w:p w14:paraId="6AA65BD4" w14:textId="77777777" w:rsidR="00A77714" w:rsidRPr="00E65474" w:rsidRDefault="00A77714" w:rsidP="00A77714">
      <w:pPr>
        <w:ind w:left="720"/>
        <w:jc w:val="center"/>
        <w:rPr>
          <w:sz w:val="24"/>
          <w:szCs w:val="24"/>
        </w:rPr>
      </w:pPr>
    </w:p>
    <w:p w14:paraId="0B1DB367" w14:textId="77777777" w:rsidR="00A77714" w:rsidRPr="00E65474" w:rsidRDefault="00A77714" w:rsidP="00A77714">
      <w:pPr>
        <w:numPr>
          <w:ilvl w:val="0"/>
          <w:numId w:val="3"/>
        </w:numPr>
        <w:rPr>
          <w:i/>
          <w:sz w:val="24"/>
          <w:szCs w:val="24"/>
        </w:rPr>
      </w:pPr>
      <w:r w:rsidRPr="00E65474">
        <w:rPr>
          <w:i/>
          <w:sz w:val="24"/>
          <w:szCs w:val="24"/>
        </w:rPr>
        <w:t>In general, is there an obvious, stable relationship between money growth and the 10-year interest rate since the year 2000?</w:t>
      </w:r>
    </w:p>
    <w:p w14:paraId="0D7832AA" w14:textId="77777777" w:rsidR="00A77714" w:rsidRPr="00E65474" w:rsidRDefault="00A77714" w:rsidP="00A77714">
      <w:pPr>
        <w:ind w:left="720"/>
        <w:rPr>
          <w:i/>
          <w:sz w:val="24"/>
          <w:szCs w:val="24"/>
        </w:rPr>
      </w:pPr>
    </w:p>
    <w:p w14:paraId="573C58BB" w14:textId="77777777" w:rsidR="00A77714" w:rsidRPr="00E65474" w:rsidRDefault="00A77714" w:rsidP="00A77714">
      <w:pPr>
        <w:ind w:left="720"/>
        <w:rPr>
          <w:sz w:val="24"/>
          <w:szCs w:val="24"/>
        </w:rPr>
      </w:pPr>
      <w:r w:rsidRPr="00E65474">
        <w:rPr>
          <w:sz w:val="24"/>
          <w:szCs w:val="24"/>
        </w:rPr>
        <w:t>No. The 10-year Canada bond rate shows an overall declining trend irrespective of the growth rate of M2++.</w:t>
      </w:r>
    </w:p>
    <w:p w14:paraId="4124E7E2" w14:textId="77777777" w:rsidR="00A77714" w:rsidRPr="00E65474" w:rsidRDefault="00A77714" w:rsidP="00A77714">
      <w:pPr>
        <w:ind w:left="720"/>
        <w:rPr>
          <w:sz w:val="24"/>
          <w:szCs w:val="24"/>
        </w:rPr>
      </w:pPr>
    </w:p>
    <w:p w14:paraId="3FE09CCC" w14:textId="77777777" w:rsidR="00A77714" w:rsidRPr="00E65474" w:rsidRDefault="00A77714" w:rsidP="00A77714">
      <w:pPr>
        <w:numPr>
          <w:ilvl w:val="0"/>
          <w:numId w:val="3"/>
        </w:numPr>
        <w:rPr>
          <w:i/>
          <w:sz w:val="24"/>
          <w:szCs w:val="24"/>
        </w:rPr>
      </w:pPr>
      <w:r w:rsidRPr="00E65474">
        <w:rPr>
          <w:i/>
          <w:sz w:val="24"/>
          <w:szCs w:val="24"/>
        </w:rPr>
        <w:t>Compare the money growth rate and the 10-year interest rate for the most recent month available to the rates for January 2000. How do the rates compare?</w:t>
      </w:r>
    </w:p>
    <w:p w14:paraId="26EC13D4" w14:textId="77777777" w:rsidR="00A77714" w:rsidRPr="00E65474" w:rsidRDefault="00A77714" w:rsidP="00A77714">
      <w:pPr>
        <w:ind w:left="720"/>
        <w:rPr>
          <w:sz w:val="24"/>
          <w:szCs w:val="24"/>
        </w:rPr>
      </w:pPr>
      <w:r w:rsidRPr="00E65474">
        <w:rPr>
          <w:sz w:val="24"/>
          <w:szCs w:val="24"/>
        </w:rPr>
        <w:t>The money growth rate and the 10-year interest rate for the most recent month (</w:t>
      </w:r>
      <w:r w:rsidR="005E5E29">
        <w:rPr>
          <w:sz w:val="24"/>
          <w:szCs w:val="24"/>
        </w:rPr>
        <w:t>November 2020</w:t>
      </w:r>
      <w:r w:rsidRPr="00E65474">
        <w:rPr>
          <w:sz w:val="24"/>
          <w:szCs w:val="24"/>
        </w:rPr>
        <w:t xml:space="preserve">) is </w:t>
      </w:r>
      <w:r w:rsidR="005E5E29">
        <w:rPr>
          <w:sz w:val="24"/>
          <w:szCs w:val="24"/>
        </w:rPr>
        <w:t>13.2</w:t>
      </w:r>
      <w:r w:rsidRPr="00E65474">
        <w:rPr>
          <w:sz w:val="24"/>
          <w:szCs w:val="24"/>
        </w:rPr>
        <w:t xml:space="preserve">% and </w:t>
      </w:r>
      <w:r w:rsidR="005E5E29">
        <w:rPr>
          <w:sz w:val="24"/>
          <w:szCs w:val="24"/>
        </w:rPr>
        <w:t>0.7</w:t>
      </w:r>
      <w:r w:rsidRPr="00E65474">
        <w:rPr>
          <w:sz w:val="24"/>
          <w:szCs w:val="24"/>
        </w:rPr>
        <w:t xml:space="preserve">%, respectively. The values of these variables were </w:t>
      </w:r>
      <w:r w:rsidR="005E5E29">
        <w:rPr>
          <w:sz w:val="24"/>
          <w:szCs w:val="24"/>
        </w:rPr>
        <w:t>7.76</w:t>
      </w:r>
      <w:r w:rsidRPr="00E65474">
        <w:rPr>
          <w:sz w:val="24"/>
          <w:szCs w:val="24"/>
        </w:rPr>
        <w:t xml:space="preserve">% and </w:t>
      </w:r>
      <w:r w:rsidR="005E5E29">
        <w:rPr>
          <w:sz w:val="24"/>
          <w:szCs w:val="24"/>
        </w:rPr>
        <w:t>5.39</w:t>
      </w:r>
      <w:r w:rsidRPr="00E65474">
        <w:rPr>
          <w:sz w:val="24"/>
          <w:szCs w:val="24"/>
        </w:rPr>
        <w:t>%, respectively, in January 200</w:t>
      </w:r>
      <w:r w:rsidR="005E5E29">
        <w:rPr>
          <w:sz w:val="24"/>
          <w:szCs w:val="24"/>
        </w:rPr>
        <w:t>1</w:t>
      </w:r>
      <w:r w:rsidRPr="00E65474">
        <w:rPr>
          <w:sz w:val="24"/>
          <w:szCs w:val="24"/>
        </w:rPr>
        <w:t xml:space="preserve">. So, the money growth rate increased by </w:t>
      </w:r>
      <w:r w:rsidR="005E5E29">
        <w:rPr>
          <w:sz w:val="24"/>
          <w:szCs w:val="24"/>
        </w:rPr>
        <w:t>5.5</w:t>
      </w:r>
      <w:r w:rsidRPr="00E65474">
        <w:rPr>
          <w:sz w:val="24"/>
          <w:szCs w:val="24"/>
        </w:rPr>
        <w:t xml:space="preserve"> percentage points, but the 10-year interest rate declined by 4.</w:t>
      </w:r>
      <w:r w:rsidR="005E5E29">
        <w:rPr>
          <w:sz w:val="24"/>
          <w:szCs w:val="24"/>
        </w:rPr>
        <w:t>69</w:t>
      </w:r>
      <w:r w:rsidRPr="00E65474">
        <w:rPr>
          <w:sz w:val="24"/>
          <w:szCs w:val="24"/>
        </w:rPr>
        <w:t xml:space="preserve"> percentage points.</w:t>
      </w:r>
    </w:p>
    <w:p w14:paraId="49C17E10" w14:textId="77777777" w:rsidR="00A77714" w:rsidRDefault="00A77714" w:rsidP="00A77714">
      <w:pPr>
        <w:ind w:left="720"/>
        <w:rPr>
          <w:sz w:val="24"/>
          <w:szCs w:val="24"/>
        </w:rPr>
      </w:pPr>
    </w:p>
    <w:p w14:paraId="1F0E01AF" w14:textId="212166D7" w:rsidR="00460E07" w:rsidRDefault="00076160" w:rsidP="00460E07">
      <w:pPr>
        <w:numPr>
          <w:ilvl w:val="0"/>
          <w:numId w:val="2"/>
        </w:numPr>
        <w:ind w:left="364"/>
        <w:rPr>
          <w:iCs/>
          <w:sz w:val="24"/>
          <w:szCs w:val="24"/>
        </w:rPr>
      </w:pPr>
      <w:r w:rsidRPr="00022267">
        <w:rPr>
          <w:i/>
          <w:iCs/>
          <w:sz w:val="24"/>
          <w:szCs w:val="24"/>
        </w:rPr>
        <w:t xml:space="preserve">Go to the St. Louis Federal Reserve FRED database and find data on the three-month </w:t>
      </w:r>
      <w:r w:rsidRPr="009657B1">
        <w:rPr>
          <w:i/>
          <w:iCs/>
          <w:sz w:val="24"/>
          <w:szCs w:val="24"/>
        </w:rPr>
        <w:t>T</w:t>
      </w:r>
      <w:r w:rsidRPr="00022267">
        <w:rPr>
          <w:i/>
          <w:iCs/>
          <w:sz w:val="24"/>
          <w:szCs w:val="24"/>
        </w:rPr>
        <w:t xml:space="preserve">reasury bill rate (TB3MS), the three-month AA nonfinancial commercial paper rate (CPN3M), the 30-year </w:t>
      </w:r>
      <w:r w:rsidRPr="009657B1">
        <w:rPr>
          <w:i/>
          <w:iCs/>
          <w:sz w:val="24"/>
          <w:szCs w:val="24"/>
        </w:rPr>
        <w:t>T</w:t>
      </w:r>
      <w:r w:rsidRPr="00022267">
        <w:rPr>
          <w:i/>
          <w:iCs/>
          <w:sz w:val="24"/>
          <w:szCs w:val="24"/>
        </w:rPr>
        <w:t xml:space="preserve">reasury bond rate (GS30), the 30-year fixed rate mortgage average (MORTGAGE30US), and the NBER recession indicators (USREC). For the mortgage rate indicator, set the frequency setting to </w:t>
      </w:r>
      <w:r w:rsidRPr="00022267">
        <w:rPr>
          <w:iCs/>
          <w:sz w:val="24"/>
          <w:szCs w:val="24"/>
        </w:rPr>
        <w:t>‟monthly.”</w:t>
      </w:r>
    </w:p>
    <w:p w14:paraId="19730174" w14:textId="77777777" w:rsidR="00460E07" w:rsidRDefault="00460E07">
      <w:pPr>
        <w:rPr>
          <w:iCs/>
          <w:sz w:val="24"/>
          <w:szCs w:val="24"/>
        </w:rPr>
      </w:pPr>
      <w:r>
        <w:rPr>
          <w:iCs/>
          <w:sz w:val="24"/>
          <w:szCs w:val="24"/>
        </w:rPr>
        <w:br w:type="page"/>
      </w:r>
    </w:p>
    <w:p w14:paraId="77635031" w14:textId="77777777" w:rsidR="00076160" w:rsidRPr="009657B1" w:rsidRDefault="00076160" w:rsidP="00076160">
      <w:pPr>
        <w:pStyle w:val="ListParagraph"/>
        <w:widowControl w:val="0"/>
        <w:numPr>
          <w:ilvl w:val="1"/>
          <w:numId w:val="5"/>
        </w:numPr>
        <w:spacing w:after="120" w:line="240" w:lineRule="auto"/>
        <w:ind w:left="720"/>
        <w:rPr>
          <w:i/>
          <w:sz w:val="24"/>
          <w:szCs w:val="24"/>
        </w:rPr>
      </w:pPr>
      <w:r w:rsidRPr="00022267">
        <w:rPr>
          <w:i/>
          <w:sz w:val="24"/>
          <w:szCs w:val="24"/>
        </w:rPr>
        <w:lastRenderedPageBreak/>
        <w:t>In general, how do these interest rates behave during expansionary periods?</w:t>
      </w:r>
    </w:p>
    <w:p w14:paraId="38085BCA" w14:textId="77777777" w:rsidR="00076160" w:rsidRPr="009657B1" w:rsidRDefault="00076160" w:rsidP="00076160">
      <w:pPr>
        <w:pStyle w:val="ListParagraph"/>
        <w:widowControl w:val="0"/>
        <w:spacing w:after="120" w:line="240" w:lineRule="auto"/>
        <w:rPr>
          <w:sz w:val="24"/>
          <w:szCs w:val="24"/>
        </w:rPr>
      </w:pPr>
      <w:r w:rsidRPr="00022267">
        <w:rPr>
          <w:sz w:val="24"/>
          <w:szCs w:val="24"/>
        </w:rPr>
        <w:t>Generally speaking, the interest rates fall during recessions and rise during expansionary periods.</w:t>
      </w:r>
    </w:p>
    <w:p w14:paraId="33B6351E" w14:textId="77777777" w:rsidR="00076160" w:rsidRPr="009657B1" w:rsidRDefault="00076160" w:rsidP="00076160">
      <w:pPr>
        <w:pStyle w:val="ListParagraph"/>
        <w:keepNext/>
        <w:keepLines/>
        <w:widowControl w:val="0"/>
        <w:numPr>
          <w:ilvl w:val="1"/>
          <w:numId w:val="5"/>
        </w:numPr>
        <w:spacing w:after="120" w:line="240" w:lineRule="auto"/>
        <w:ind w:left="714" w:hanging="357"/>
        <w:rPr>
          <w:i/>
          <w:sz w:val="24"/>
          <w:szCs w:val="24"/>
        </w:rPr>
      </w:pPr>
      <w:r w:rsidRPr="00022267">
        <w:rPr>
          <w:i/>
          <w:sz w:val="24"/>
          <w:szCs w:val="24"/>
        </w:rPr>
        <w:t>In general, how do the three-month interest rates compare to the 30-year rates?  How do the Treasury rates compare to the respective commercial paper and mortgage rates?</w:t>
      </w:r>
    </w:p>
    <w:p w14:paraId="7020867A" w14:textId="77777777" w:rsidR="00076160" w:rsidRPr="009657B1" w:rsidRDefault="00076160" w:rsidP="00076160">
      <w:pPr>
        <w:pStyle w:val="ListParagraph"/>
        <w:widowControl w:val="0"/>
        <w:spacing w:after="120" w:line="240" w:lineRule="auto"/>
        <w:rPr>
          <w:sz w:val="24"/>
          <w:szCs w:val="24"/>
        </w:rPr>
      </w:pPr>
      <w:r w:rsidRPr="00022267">
        <w:rPr>
          <w:sz w:val="24"/>
          <w:szCs w:val="24"/>
        </w:rPr>
        <w:t xml:space="preserve">In nearly all instances, the 30-year rates are significantly higher than the three-month rates. Likewise, in most cases, the 30-year mortgage rate is higher than the 30-year </w:t>
      </w:r>
      <w:r w:rsidRPr="009657B1">
        <w:rPr>
          <w:sz w:val="24"/>
          <w:szCs w:val="24"/>
        </w:rPr>
        <w:t>T</w:t>
      </w:r>
      <w:r w:rsidRPr="00022267">
        <w:rPr>
          <w:sz w:val="24"/>
          <w:szCs w:val="24"/>
        </w:rPr>
        <w:t xml:space="preserve">reasury rate, and the three-month commercial paper rate is higher than the three-month </w:t>
      </w:r>
      <w:r w:rsidRPr="009657B1">
        <w:rPr>
          <w:sz w:val="24"/>
          <w:szCs w:val="24"/>
        </w:rPr>
        <w:t>T</w:t>
      </w:r>
      <w:r w:rsidRPr="00022267">
        <w:rPr>
          <w:sz w:val="24"/>
          <w:szCs w:val="24"/>
        </w:rPr>
        <w:t>reasury rate.</w:t>
      </w:r>
    </w:p>
    <w:p w14:paraId="2AD3FA92" w14:textId="77777777" w:rsidR="00076160" w:rsidRPr="009657B1" w:rsidRDefault="00076160" w:rsidP="00076160">
      <w:pPr>
        <w:pStyle w:val="ListParagraph"/>
        <w:widowControl w:val="0"/>
        <w:numPr>
          <w:ilvl w:val="1"/>
          <w:numId w:val="5"/>
        </w:numPr>
        <w:spacing w:after="120" w:line="240" w:lineRule="auto"/>
        <w:ind w:left="720"/>
        <w:rPr>
          <w:i/>
          <w:sz w:val="24"/>
          <w:szCs w:val="24"/>
        </w:rPr>
      </w:pPr>
      <w:r w:rsidRPr="00022267">
        <w:rPr>
          <w:i/>
          <w:sz w:val="24"/>
          <w:szCs w:val="24"/>
        </w:rPr>
        <w:t>For the most recent available month of data, take the average of each of the three-month rates and compare it to the average of the three-month rates from January 2000.  How do the averages compare?</w:t>
      </w:r>
    </w:p>
    <w:p w14:paraId="21407D72" w14:textId="77777777" w:rsidR="00076160" w:rsidRPr="009657B1" w:rsidRDefault="00076160" w:rsidP="00076160">
      <w:pPr>
        <w:pStyle w:val="ListParagraph"/>
        <w:widowControl w:val="0"/>
        <w:numPr>
          <w:ilvl w:val="1"/>
          <w:numId w:val="5"/>
        </w:numPr>
        <w:spacing w:after="240" w:line="240" w:lineRule="auto"/>
        <w:ind w:left="714" w:hanging="357"/>
        <w:rPr>
          <w:i/>
          <w:sz w:val="24"/>
          <w:szCs w:val="24"/>
        </w:rPr>
      </w:pPr>
      <w:r w:rsidRPr="00022267">
        <w:rPr>
          <w:i/>
          <w:sz w:val="24"/>
          <w:szCs w:val="24"/>
        </w:rPr>
        <w:t>For the most recent available month of data, take the average of each of the 30-year rates and compare it to the average of the 30-year rates from January 2000.  How do the averages compare?</w:t>
      </w:r>
    </w:p>
    <w:tbl>
      <w:tblPr>
        <w:tblW w:w="6540" w:type="dxa"/>
        <w:jc w:val="center"/>
        <w:tblLook w:val="04A0" w:firstRow="1" w:lastRow="0" w:firstColumn="1" w:lastColumn="0" w:noHBand="0" w:noVBand="1"/>
      </w:tblPr>
      <w:tblGrid>
        <w:gridCol w:w="2842"/>
        <w:gridCol w:w="1868"/>
        <w:gridCol w:w="1830"/>
      </w:tblGrid>
      <w:tr w:rsidR="00076160" w:rsidRPr="009657B1" w14:paraId="0DE88B61" w14:textId="77777777" w:rsidTr="001413E0">
        <w:trPr>
          <w:trHeight w:val="402"/>
          <w:jc w:val="center"/>
        </w:trPr>
        <w:tc>
          <w:tcPr>
            <w:tcW w:w="2842" w:type="dxa"/>
            <w:tcBorders>
              <w:bottom w:val="single" w:sz="4" w:space="0" w:color="auto"/>
            </w:tcBorders>
            <w:noWrap/>
            <w:vAlign w:val="bottom"/>
            <w:hideMark/>
          </w:tcPr>
          <w:p w14:paraId="4219400D" w14:textId="77777777" w:rsidR="00076160" w:rsidRPr="009657B1" w:rsidRDefault="00076160" w:rsidP="001413E0">
            <w:pPr>
              <w:pStyle w:val="UNTBL"/>
              <w:spacing w:before="40" w:after="40" w:line="240" w:lineRule="auto"/>
              <w:ind w:left="0"/>
              <w:rPr>
                <w:rFonts w:ascii="Times New Roman" w:hAnsi="Times New Roman" w:cs="Times New Roman"/>
                <w:b/>
                <w:color w:val="auto"/>
                <w:sz w:val="24"/>
                <w:szCs w:val="24"/>
              </w:rPr>
            </w:pPr>
            <w:r w:rsidRPr="00022267">
              <w:rPr>
                <w:rFonts w:ascii="Times New Roman" w:hAnsi="Times New Roman" w:cs="Times New Roman"/>
                <w:b/>
                <w:color w:val="auto"/>
                <w:sz w:val="24"/>
                <w:szCs w:val="24"/>
              </w:rPr>
              <w:t> </w:t>
            </w:r>
          </w:p>
        </w:tc>
        <w:tc>
          <w:tcPr>
            <w:tcW w:w="1868" w:type="dxa"/>
            <w:tcBorders>
              <w:bottom w:val="single" w:sz="4" w:space="0" w:color="auto"/>
            </w:tcBorders>
            <w:noWrap/>
            <w:vAlign w:val="bottom"/>
            <w:hideMark/>
          </w:tcPr>
          <w:p w14:paraId="5DBB110E" w14:textId="77777777" w:rsidR="00076160" w:rsidRPr="009657B1" w:rsidRDefault="00076160" w:rsidP="001413E0">
            <w:pPr>
              <w:pStyle w:val="UNTBL"/>
              <w:spacing w:before="40" w:after="40" w:line="240" w:lineRule="auto"/>
              <w:ind w:left="0" w:right="0"/>
              <w:rPr>
                <w:rFonts w:ascii="Times New Roman" w:hAnsi="Times New Roman" w:cs="Times New Roman"/>
                <w:b/>
                <w:color w:val="auto"/>
                <w:sz w:val="24"/>
                <w:szCs w:val="24"/>
              </w:rPr>
            </w:pPr>
            <w:r w:rsidRPr="00022267">
              <w:rPr>
                <w:rFonts w:ascii="Times New Roman" w:hAnsi="Times New Roman" w:cs="Times New Roman"/>
                <w:b/>
                <w:color w:val="auto"/>
                <w:sz w:val="24"/>
                <w:szCs w:val="24"/>
              </w:rPr>
              <w:t>June 2020</w:t>
            </w:r>
          </w:p>
        </w:tc>
        <w:tc>
          <w:tcPr>
            <w:tcW w:w="1830" w:type="dxa"/>
            <w:tcBorders>
              <w:bottom w:val="single" w:sz="4" w:space="0" w:color="auto"/>
            </w:tcBorders>
            <w:noWrap/>
            <w:vAlign w:val="bottom"/>
            <w:hideMark/>
          </w:tcPr>
          <w:p w14:paraId="6C8A3A39" w14:textId="77777777" w:rsidR="00076160" w:rsidRPr="009657B1" w:rsidRDefault="00076160" w:rsidP="001413E0">
            <w:pPr>
              <w:pStyle w:val="UNTBL"/>
              <w:spacing w:before="40" w:after="40" w:line="240" w:lineRule="auto"/>
              <w:ind w:left="0" w:right="0"/>
              <w:rPr>
                <w:rFonts w:ascii="Times New Roman" w:hAnsi="Times New Roman" w:cs="Times New Roman"/>
                <w:b/>
                <w:color w:val="auto"/>
                <w:sz w:val="24"/>
                <w:szCs w:val="24"/>
              </w:rPr>
            </w:pPr>
            <w:r w:rsidRPr="00022267">
              <w:rPr>
                <w:rFonts w:ascii="Times New Roman" w:hAnsi="Times New Roman" w:cs="Times New Roman"/>
                <w:b/>
                <w:color w:val="auto"/>
                <w:sz w:val="24"/>
                <w:szCs w:val="24"/>
              </w:rPr>
              <w:t>January 2000</w:t>
            </w:r>
          </w:p>
        </w:tc>
      </w:tr>
      <w:tr w:rsidR="00076160" w:rsidRPr="009657B1" w14:paraId="70459BC7" w14:textId="77777777" w:rsidTr="001413E0">
        <w:trPr>
          <w:trHeight w:val="402"/>
          <w:jc w:val="center"/>
        </w:trPr>
        <w:tc>
          <w:tcPr>
            <w:tcW w:w="2842" w:type="dxa"/>
            <w:tcBorders>
              <w:top w:val="single" w:sz="4" w:space="0" w:color="auto"/>
            </w:tcBorders>
            <w:noWrap/>
            <w:vAlign w:val="bottom"/>
            <w:hideMark/>
          </w:tcPr>
          <w:p w14:paraId="2D37C6A8" w14:textId="77777777" w:rsidR="00076160" w:rsidRPr="009657B1" w:rsidRDefault="00076160" w:rsidP="001413E0">
            <w:pPr>
              <w:pStyle w:val="UNTBL"/>
              <w:spacing w:before="40" w:after="40" w:line="240" w:lineRule="auto"/>
              <w:ind w:left="0"/>
              <w:rPr>
                <w:rFonts w:ascii="Times New Roman" w:hAnsi="Times New Roman" w:cs="Times New Roman"/>
                <w:color w:val="auto"/>
                <w:sz w:val="24"/>
                <w:szCs w:val="24"/>
              </w:rPr>
            </w:pPr>
            <w:r w:rsidRPr="00022267">
              <w:rPr>
                <w:rFonts w:ascii="Times New Roman" w:hAnsi="Times New Roman" w:cs="Times New Roman"/>
                <w:color w:val="auto"/>
                <w:sz w:val="24"/>
                <w:szCs w:val="24"/>
              </w:rPr>
              <w:t>Three-month rate avg.</w:t>
            </w:r>
          </w:p>
        </w:tc>
        <w:tc>
          <w:tcPr>
            <w:tcW w:w="1868" w:type="dxa"/>
            <w:tcBorders>
              <w:top w:val="single" w:sz="4" w:space="0" w:color="auto"/>
            </w:tcBorders>
            <w:noWrap/>
            <w:vAlign w:val="bottom"/>
            <w:hideMark/>
          </w:tcPr>
          <w:p w14:paraId="4FCCDA45" w14:textId="77777777" w:rsidR="00076160" w:rsidRPr="009657B1" w:rsidRDefault="00076160" w:rsidP="001413E0">
            <w:pPr>
              <w:pStyle w:val="UNTBL"/>
              <w:spacing w:before="40" w:after="40" w:line="240" w:lineRule="auto"/>
              <w:ind w:left="0" w:right="0"/>
              <w:rPr>
                <w:rFonts w:ascii="Times New Roman" w:hAnsi="Times New Roman" w:cs="Times New Roman"/>
                <w:color w:val="auto"/>
                <w:sz w:val="24"/>
                <w:szCs w:val="24"/>
              </w:rPr>
            </w:pPr>
            <w:r w:rsidRPr="00022267">
              <w:rPr>
                <w:rFonts w:ascii="Times New Roman" w:hAnsi="Times New Roman" w:cs="Times New Roman"/>
                <w:color w:val="auto"/>
                <w:sz w:val="24"/>
                <w:szCs w:val="24"/>
              </w:rPr>
              <w:t>0.17</w:t>
            </w:r>
          </w:p>
        </w:tc>
        <w:tc>
          <w:tcPr>
            <w:tcW w:w="1830" w:type="dxa"/>
            <w:tcBorders>
              <w:top w:val="single" w:sz="4" w:space="0" w:color="auto"/>
            </w:tcBorders>
            <w:noWrap/>
            <w:vAlign w:val="bottom"/>
            <w:hideMark/>
          </w:tcPr>
          <w:p w14:paraId="00DE6E99" w14:textId="77777777" w:rsidR="00076160" w:rsidRPr="009657B1" w:rsidRDefault="00076160" w:rsidP="001413E0">
            <w:pPr>
              <w:pStyle w:val="UNTBL"/>
              <w:spacing w:before="40" w:after="40" w:line="240" w:lineRule="auto"/>
              <w:ind w:left="0" w:right="0"/>
              <w:rPr>
                <w:rFonts w:ascii="Times New Roman" w:hAnsi="Times New Roman" w:cs="Times New Roman"/>
                <w:color w:val="auto"/>
                <w:sz w:val="24"/>
                <w:szCs w:val="24"/>
              </w:rPr>
            </w:pPr>
            <w:r w:rsidRPr="00022267">
              <w:rPr>
                <w:rFonts w:ascii="Times New Roman" w:hAnsi="Times New Roman" w:cs="Times New Roman"/>
                <w:color w:val="auto"/>
                <w:sz w:val="24"/>
                <w:szCs w:val="24"/>
              </w:rPr>
              <w:t>5.53</w:t>
            </w:r>
          </w:p>
        </w:tc>
      </w:tr>
      <w:tr w:rsidR="00076160" w:rsidRPr="009657B1" w14:paraId="0082C866" w14:textId="77777777" w:rsidTr="001413E0">
        <w:trPr>
          <w:trHeight w:val="402"/>
          <w:jc w:val="center"/>
        </w:trPr>
        <w:tc>
          <w:tcPr>
            <w:tcW w:w="2842" w:type="dxa"/>
            <w:tcBorders>
              <w:bottom w:val="single" w:sz="4" w:space="0" w:color="auto"/>
            </w:tcBorders>
            <w:noWrap/>
            <w:vAlign w:val="bottom"/>
            <w:hideMark/>
          </w:tcPr>
          <w:p w14:paraId="397603FA" w14:textId="77777777" w:rsidR="00076160" w:rsidRPr="009657B1" w:rsidRDefault="00076160" w:rsidP="001413E0">
            <w:pPr>
              <w:pStyle w:val="UNTBL"/>
              <w:spacing w:before="40" w:after="40" w:line="240" w:lineRule="auto"/>
              <w:ind w:left="0"/>
              <w:rPr>
                <w:rFonts w:ascii="Times New Roman" w:hAnsi="Times New Roman" w:cs="Times New Roman"/>
                <w:color w:val="auto"/>
                <w:sz w:val="24"/>
                <w:szCs w:val="24"/>
              </w:rPr>
            </w:pPr>
            <w:r w:rsidRPr="00022267">
              <w:rPr>
                <w:rFonts w:ascii="Times New Roman" w:hAnsi="Times New Roman" w:cs="Times New Roman"/>
                <w:color w:val="auto"/>
                <w:sz w:val="24"/>
                <w:szCs w:val="24"/>
              </w:rPr>
              <w:t>30-year rate avg.</w:t>
            </w:r>
          </w:p>
        </w:tc>
        <w:tc>
          <w:tcPr>
            <w:tcW w:w="1868" w:type="dxa"/>
            <w:tcBorders>
              <w:bottom w:val="single" w:sz="4" w:space="0" w:color="auto"/>
            </w:tcBorders>
            <w:noWrap/>
            <w:vAlign w:val="bottom"/>
            <w:hideMark/>
          </w:tcPr>
          <w:p w14:paraId="7F835560" w14:textId="77777777" w:rsidR="00076160" w:rsidRPr="009657B1" w:rsidRDefault="00076160" w:rsidP="001413E0">
            <w:pPr>
              <w:pStyle w:val="UNTBL"/>
              <w:spacing w:before="40" w:after="40" w:line="240" w:lineRule="auto"/>
              <w:ind w:left="0" w:right="0"/>
              <w:rPr>
                <w:rFonts w:ascii="Times New Roman" w:hAnsi="Times New Roman" w:cs="Times New Roman"/>
                <w:color w:val="auto"/>
                <w:sz w:val="24"/>
                <w:szCs w:val="24"/>
              </w:rPr>
            </w:pPr>
            <w:r w:rsidRPr="00022267">
              <w:rPr>
                <w:rFonts w:ascii="Times New Roman" w:hAnsi="Times New Roman" w:cs="Times New Roman"/>
                <w:color w:val="auto"/>
                <w:sz w:val="24"/>
                <w:szCs w:val="24"/>
              </w:rPr>
              <w:t>2.33</w:t>
            </w:r>
          </w:p>
        </w:tc>
        <w:tc>
          <w:tcPr>
            <w:tcW w:w="1830" w:type="dxa"/>
            <w:tcBorders>
              <w:bottom w:val="single" w:sz="4" w:space="0" w:color="auto"/>
            </w:tcBorders>
            <w:noWrap/>
            <w:vAlign w:val="bottom"/>
            <w:hideMark/>
          </w:tcPr>
          <w:p w14:paraId="6C6F2F9F" w14:textId="77777777" w:rsidR="00076160" w:rsidRPr="009657B1" w:rsidRDefault="00076160" w:rsidP="001413E0">
            <w:pPr>
              <w:pStyle w:val="UNTBL"/>
              <w:spacing w:before="40" w:after="40" w:line="240" w:lineRule="auto"/>
              <w:ind w:left="0" w:right="0"/>
              <w:rPr>
                <w:rFonts w:ascii="Times New Roman" w:hAnsi="Times New Roman" w:cs="Times New Roman"/>
                <w:color w:val="auto"/>
                <w:sz w:val="24"/>
                <w:szCs w:val="24"/>
              </w:rPr>
            </w:pPr>
            <w:r w:rsidRPr="00022267">
              <w:rPr>
                <w:rFonts w:ascii="Times New Roman" w:hAnsi="Times New Roman" w:cs="Times New Roman"/>
                <w:color w:val="auto"/>
                <w:sz w:val="24"/>
                <w:szCs w:val="24"/>
              </w:rPr>
              <w:t>7.42</w:t>
            </w:r>
          </w:p>
        </w:tc>
      </w:tr>
    </w:tbl>
    <w:p w14:paraId="344E983E" w14:textId="77777777" w:rsidR="00076160" w:rsidRPr="009657B1" w:rsidRDefault="00076160" w:rsidP="00076160">
      <w:pPr>
        <w:pStyle w:val="ListParagraph"/>
        <w:widowControl w:val="0"/>
        <w:spacing w:before="240" w:after="240" w:line="240" w:lineRule="auto"/>
        <w:rPr>
          <w:rStyle w:val="crnum"/>
          <w:sz w:val="24"/>
          <w:szCs w:val="24"/>
        </w:rPr>
      </w:pPr>
      <w:r w:rsidRPr="00022267">
        <w:rPr>
          <w:sz w:val="24"/>
          <w:szCs w:val="24"/>
        </w:rPr>
        <w:t>See the table above. For both rate averages, they have decreased significantly since January 2000.</w:t>
      </w:r>
    </w:p>
    <w:p w14:paraId="46335C4A" w14:textId="77777777" w:rsidR="00A77714" w:rsidRPr="00C52350" w:rsidRDefault="00A77714" w:rsidP="00A77714"/>
    <w:sectPr w:rsidR="00A77714" w:rsidRPr="00C52350" w:rsidSect="00104DEB">
      <w:headerReference w:type="default" r:id="rId9"/>
      <w:footerReference w:type="default" r:id="rId10"/>
      <w:footerReference w:type="first" r:id="rId11"/>
      <w:pgSz w:w="12240" w:h="15840" w:code="1"/>
      <w:pgMar w:top="1440"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73F4A" w14:textId="77777777" w:rsidR="00FE1FD9" w:rsidRDefault="00FE1FD9" w:rsidP="00F47289">
      <w:r>
        <w:separator/>
      </w:r>
    </w:p>
  </w:endnote>
  <w:endnote w:type="continuationSeparator" w:id="0">
    <w:p w14:paraId="3EACDBF3" w14:textId="77777777" w:rsidR="00FE1FD9" w:rsidRDefault="00FE1FD9" w:rsidP="00F47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Berkeley Book">
    <w:altName w:val="Times New Roman"/>
    <w:panose1 w:val="00000000000000000000"/>
    <w:charset w:val="00"/>
    <w:family w:val="roman"/>
    <w:notTrueType/>
    <w:pitch w:val="default"/>
  </w:font>
  <w:font w:name="BerkeleyPro-Book">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85E21" w14:textId="77777777" w:rsidR="00E87F6A" w:rsidRPr="007B2660" w:rsidRDefault="00B00D93" w:rsidP="00FA29FE">
    <w:pPr>
      <w:pStyle w:val="Footer"/>
      <w:pBdr>
        <w:top w:val="single" w:sz="4" w:space="0" w:color="auto"/>
      </w:pBdr>
      <w:tabs>
        <w:tab w:val="right" w:pos="9432"/>
      </w:tabs>
      <w:spacing w:before="360"/>
      <w:jc w:val="center"/>
      <w:rPr>
        <w:sz w:val="18"/>
      </w:rPr>
    </w:pPr>
    <w:r w:rsidRPr="007B2660">
      <w:rPr>
        <w:sz w:val="18"/>
      </w:rPr>
      <w:t xml:space="preserve">Copyright © </w:t>
    </w:r>
    <w:r w:rsidR="00277920" w:rsidRPr="007B2660">
      <w:rPr>
        <w:sz w:val="18"/>
      </w:rPr>
      <w:t>20</w:t>
    </w:r>
    <w:r w:rsidR="00277920">
      <w:rPr>
        <w:sz w:val="18"/>
      </w:rPr>
      <w:t>23</w:t>
    </w:r>
    <w:r w:rsidR="00277920" w:rsidRPr="007B2660">
      <w:rPr>
        <w:sz w:val="18"/>
      </w:rPr>
      <w:t xml:space="preserve"> </w:t>
    </w:r>
    <w:r w:rsidRPr="007B2660">
      <w:rPr>
        <w:sz w:val="18"/>
      </w:rPr>
      <w:t xml:space="preserve">Pearson </w:t>
    </w:r>
    <w:r>
      <w:rPr>
        <w:sz w:val="18"/>
      </w:rPr>
      <w:t>Canada</w:t>
    </w:r>
    <w:r w:rsidRPr="007B2660">
      <w:rPr>
        <w:sz w:val="18"/>
      </w:rPr>
      <w:t xml:space="preserve"> Inc.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B8930" w14:textId="77777777" w:rsidR="005132F4" w:rsidRPr="005132F4" w:rsidRDefault="005132F4" w:rsidP="005132F4">
    <w:pPr>
      <w:pStyle w:val="Footer"/>
      <w:pBdr>
        <w:top w:val="single" w:sz="4" w:space="0" w:color="auto"/>
      </w:pBdr>
      <w:tabs>
        <w:tab w:val="right" w:pos="9432"/>
      </w:tabs>
      <w:spacing w:before="360"/>
      <w:jc w:val="center"/>
      <w:rPr>
        <w:sz w:val="18"/>
      </w:rPr>
    </w:pPr>
    <w:r w:rsidRPr="007B2660">
      <w:rPr>
        <w:sz w:val="18"/>
      </w:rPr>
      <w:t>Copyright © 20</w:t>
    </w:r>
    <w:r>
      <w:rPr>
        <w:sz w:val="18"/>
      </w:rPr>
      <w:t>20</w:t>
    </w:r>
    <w:r w:rsidRPr="007B2660">
      <w:rPr>
        <w:sz w:val="18"/>
      </w:rPr>
      <w:t xml:space="preserve"> by Pearson </w:t>
    </w:r>
    <w:r>
      <w:rPr>
        <w:sz w:val="18"/>
      </w:rPr>
      <w:t>Canada</w:t>
    </w:r>
    <w:r w:rsidRPr="007B2660">
      <w:rPr>
        <w:sz w:val="18"/>
      </w:rPr>
      <w:t xml:space="preserve">, Inc.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5BA5E" w14:textId="77777777" w:rsidR="00FE1FD9" w:rsidRDefault="00FE1FD9" w:rsidP="00F47289">
      <w:r>
        <w:separator/>
      </w:r>
    </w:p>
  </w:footnote>
  <w:footnote w:type="continuationSeparator" w:id="0">
    <w:p w14:paraId="19F4204A" w14:textId="77777777" w:rsidR="00FE1FD9" w:rsidRDefault="00FE1FD9" w:rsidP="00F47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03A5F" w14:textId="77777777" w:rsidR="00E87F6A" w:rsidRPr="00F47289" w:rsidRDefault="00B00D93" w:rsidP="00F47289">
    <w:pPr>
      <w:pStyle w:val="VersoHeader"/>
    </w:pPr>
    <w:r w:rsidRPr="00F47289">
      <w:t>Mishkin and Serletis</w:t>
    </w:r>
    <w:r w:rsidRPr="00F47289">
      <w:t> </w:t>
    </w:r>
    <w:r w:rsidRPr="00F47289">
      <w:t>•</w:t>
    </w:r>
    <w:r w:rsidRPr="00F47289">
      <w:t> </w:t>
    </w:r>
    <w:r w:rsidRPr="00F47289">
      <w:t xml:space="preserve">Instructor’s Manual for </w:t>
    </w:r>
    <w:r w:rsidRPr="008B0B7F">
      <w:rPr>
        <w:i/>
      </w:rPr>
      <w:t>The Economics of Money, Banking, and Financial Markets</w:t>
    </w:r>
    <w:r w:rsidRPr="00F47289">
      <w:t xml:space="preserve">, </w:t>
    </w:r>
    <w:r w:rsidR="00526342">
      <w:t>8</w:t>
    </w:r>
    <w:r w:rsidRPr="00F47289">
      <w:t>Ce</w:t>
    </w:r>
    <w:r w:rsidRPr="00F47289">
      <w:tab/>
    </w:r>
    <w:r w:rsidR="00A77714">
      <w:t>1</w:t>
    </w:r>
    <w:r w:rsidR="00105E45">
      <w:t>–</w:t>
    </w:r>
    <w:r w:rsidR="007E16B3" w:rsidRPr="00F47289">
      <w:rPr>
        <w:rStyle w:val="PageNumber"/>
      </w:rPr>
      <w:fldChar w:fldCharType="begin"/>
    </w:r>
    <w:r w:rsidRPr="00F47289">
      <w:rPr>
        <w:rStyle w:val="PageNumber"/>
      </w:rPr>
      <w:instrText xml:space="preserve"> PAGE </w:instrText>
    </w:r>
    <w:r w:rsidR="007E16B3" w:rsidRPr="00F47289">
      <w:rPr>
        <w:rStyle w:val="PageNumber"/>
      </w:rPr>
      <w:fldChar w:fldCharType="separate"/>
    </w:r>
    <w:r w:rsidR="00E75AAF">
      <w:rPr>
        <w:rStyle w:val="PageNumber"/>
        <w:noProof/>
      </w:rPr>
      <w:t>1</w:t>
    </w:r>
    <w:r w:rsidR="007E16B3" w:rsidRPr="00F47289">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75990"/>
    <w:multiLevelType w:val="hybridMultilevel"/>
    <w:tmpl w:val="B25CE570"/>
    <w:lvl w:ilvl="0" w:tplc="2FCE382E">
      <w:start w:val="1"/>
      <w:numFmt w:val="decimal"/>
      <w:lvlText w:val="%1."/>
      <w:lvlJc w:val="left"/>
      <w:pPr>
        <w:ind w:left="360" w:hanging="360"/>
      </w:pPr>
      <w:rPr>
        <w:rFonts w:cs="Times New Roman" w:hint="default"/>
      </w:rPr>
    </w:lvl>
    <w:lvl w:ilvl="1" w:tplc="1CA64CCC">
      <w:start w:val="1"/>
      <w:numFmt w:val="lowerLetter"/>
      <w:lvlText w:val="%2."/>
      <w:lvlJc w:val="left"/>
      <w:pPr>
        <w:ind w:left="1440" w:hanging="360"/>
      </w:pPr>
      <w:rPr>
        <w:rFonts w:cs="Times New Roman" w:hint="default"/>
        <w:i/>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4C5117AF"/>
    <w:multiLevelType w:val="multilevel"/>
    <w:tmpl w:val="19C634CE"/>
    <w:lvl w:ilvl="0">
      <w:start w:val="1"/>
      <w:numFmt w:val="decimal"/>
      <w:lvlText w:val="%1."/>
      <w:lvlJc w:val="left"/>
      <w:pPr>
        <w:ind w:left="720" w:hanging="360"/>
      </w:pPr>
      <w:rPr>
        <w:i/>
        <w:i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8277B60"/>
    <w:multiLevelType w:val="multilevel"/>
    <w:tmpl w:val="C6DC88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45B22D9"/>
    <w:multiLevelType w:val="multilevel"/>
    <w:tmpl w:val="1E24A6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B220AB5"/>
    <w:multiLevelType w:val="multilevel"/>
    <w:tmpl w:val="526A0864"/>
    <w:lvl w:ilvl="0">
      <w:start w:val="1"/>
      <w:numFmt w:val="decimal"/>
      <w:lvlText w:val="%1."/>
      <w:lvlJc w:val="right"/>
      <w:pPr>
        <w:ind w:left="360" w:hanging="72"/>
      </w:pPr>
      <w:rPr>
        <w:rFonts w:hint="default"/>
      </w:rPr>
    </w:lvl>
    <w:lvl w:ilvl="1">
      <w:start w:val="1"/>
      <w:numFmt w:val="lowerLetter"/>
      <w:lvlText w:val="%2."/>
      <w:lvlJc w:val="left"/>
      <w:pPr>
        <w:ind w:left="1520" w:hanging="360"/>
      </w:pPr>
      <w:rPr>
        <w:rFonts w:hint="default"/>
      </w:rPr>
    </w:lvl>
    <w:lvl w:ilvl="2">
      <w:start w:val="1"/>
      <w:numFmt w:val="lowerRoman"/>
      <w:lvlText w:val="%3."/>
      <w:lvlJc w:val="right"/>
      <w:pPr>
        <w:ind w:left="2240" w:hanging="180"/>
      </w:pPr>
      <w:rPr>
        <w:rFonts w:hint="default"/>
      </w:rPr>
    </w:lvl>
    <w:lvl w:ilvl="3">
      <w:start w:val="1"/>
      <w:numFmt w:val="decimal"/>
      <w:lvlText w:val="%4."/>
      <w:lvlJc w:val="left"/>
      <w:pPr>
        <w:ind w:left="2960" w:hanging="360"/>
      </w:pPr>
      <w:rPr>
        <w:rFonts w:hint="default"/>
      </w:rPr>
    </w:lvl>
    <w:lvl w:ilvl="4">
      <w:start w:val="1"/>
      <w:numFmt w:val="lowerLetter"/>
      <w:lvlText w:val="%5."/>
      <w:lvlJc w:val="left"/>
      <w:pPr>
        <w:ind w:left="3680" w:hanging="360"/>
      </w:pPr>
      <w:rPr>
        <w:rFonts w:hint="default"/>
      </w:rPr>
    </w:lvl>
    <w:lvl w:ilvl="5">
      <w:start w:val="1"/>
      <w:numFmt w:val="lowerRoman"/>
      <w:lvlText w:val="%6."/>
      <w:lvlJc w:val="right"/>
      <w:pPr>
        <w:ind w:left="4400" w:hanging="180"/>
      </w:pPr>
      <w:rPr>
        <w:rFonts w:hint="default"/>
      </w:rPr>
    </w:lvl>
    <w:lvl w:ilvl="6">
      <w:start w:val="1"/>
      <w:numFmt w:val="decimal"/>
      <w:lvlText w:val="%7."/>
      <w:lvlJc w:val="left"/>
      <w:pPr>
        <w:ind w:left="5120" w:hanging="360"/>
      </w:pPr>
      <w:rPr>
        <w:rFonts w:hint="default"/>
      </w:rPr>
    </w:lvl>
    <w:lvl w:ilvl="7">
      <w:start w:val="1"/>
      <w:numFmt w:val="lowerLetter"/>
      <w:lvlText w:val="%8."/>
      <w:lvlJc w:val="left"/>
      <w:pPr>
        <w:ind w:left="5840" w:hanging="360"/>
      </w:pPr>
      <w:rPr>
        <w:rFonts w:hint="default"/>
      </w:rPr>
    </w:lvl>
    <w:lvl w:ilvl="8">
      <w:start w:val="1"/>
      <w:numFmt w:val="lowerRoman"/>
      <w:lvlText w:val="%9."/>
      <w:lvlJc w:val="right"/>
      <w:pPr>
        <w:ind w:left="6560" w:hanging="180"/>
      </w:pPr>
      <w:rPr>
        <w:rFont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289"/>
    <w:rsid w:val="00023C82"/>
    <w:rsid w:val="00074D1B"/>
    <w:rsid w:val="00076160"/>
    <w:rsid w:val="000A1FEE"/>
    <w:rsid w:val="000C31E5"/>
    <w:rsid w:val="00104DEB"/>
    <w:rsid w:val="00105E45"/>
    <w:rsid w:val="0013025E"/>
    <w:rsid w:val="001C11C7"/>
    <w:rsid w:val="00237A3D"/>
    <w:rsid w:val="00277920"/>
    <w:rsid w:val="00286E1C"/>
    <w:rsid w:val="00290BFB"/>
    <w:rsid w:val="002C181A"/>
    <w:rsid w:val="002E335E"/>
    <w:rsid w:val="003B2C7A"/>
    <w:rsid w:val="003D6920"/>
    <w:rsid w:val="00460E07"/>
    <w:rsid w:val="005038A1"/>
    <w:rsid w:val="005132F4"/>
    <w:rsid w:val="00526342"/>
    <w:rsid w:val="0053217C"/>
    <w:rsid w:val="00570694"/>
    <w:rsid w:val="005A056F"/>
    <w:rsid w:val="005A431D"/>
    <w:rsid w:val="005B657A"/>
    <w:rsid w:val="005E5E29"/>
    <w:rsid w:val="00605D31"/>
    <w:rsid w:val="006203CE"/>
    <w:rsid w:val="00624B63"/>
    <w:rsid w:val="007746BC"/>
    <w:rsid w:val="007A09DE"/>
    <w:rsid w:val="007E16B3"/>
    <w:rsid w:val="00834197"/>
    <w:rsid w:val="00845296"/>
    <w:rsid w:val="0086690D"/>
    <w:rsid w:val="008B0B7F"/>
    <w:rsid w:val="008C47DF"/>
    <w:rsid w:val="008D6648"/>
    <w:rsid w:val="008F668F"/>
    <w:rsid w:val="0092704F"/>
    <w:rsid w:val="009A0D9E"/>
    <w:rsid w:val="009A6CA0"/>
    <w:rsid w:val="009F7A43"/>
    <w:rsid w:val="00A57EAF"/>
    <w:rsid w:val="00A760C7"/>
    <w:rsid w:val="00A77714"/>
    <w:rsid w:val="00A85A1A"/>
    <w:rsid w:val="00A90700"/>
    <w:rsid w:val="00A95110"/>
    <w:rsid w:val="00AB3ED4"/>
    <w:rsid w:val="00AE5319"/>
    <w:rsid w:val="00B00D93"/>
    <w:rsid w:val="00B14BF3"/>
    <w:rsid w:val="00BC0CF1"/>
    <w:rsid w:val="00C00150"/>
    <w:rsid w:val="00C15AFD"/>
    <w:rsid w:val="00CB0CA1"/>
    <w:rsid w:val="00DB601B"/>
    <w:rsid w:val="00E20580"/>
    <w:rsid w:val="00E637B5"/>
    <w:rsid w:val="00E75AAF"/>
    <w:rsid w:val="00EB75BE"/>
    <w:rsid w:val="00F421B2"/>
    <w:rsid w:val="00F47289"/>
    <w:rsid w:val="00FE1FD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B3740"/>
  <w15:docId w15:val="{44B3EC7B-9FCD-8843-BFBE-A8CBA2238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289"/>
    <w:rPr>
      <w:rFonts w:ascii="Times New Roman" w:eastAsia="Times New Roman" w:hAnsi="Times New Roman" w:cs="Times New Roman"/>
      <w:sz w:val="20"/>
      <w:szCs w:val="20"/>
      <w:lang w:val="en-CA"/>
    </w:rPr>
  </w:style>
  <w:style w:type="paragraph" w:styleId="Heading1">
    <w:name w:val="heading 1"/>
    <w:basedOn w:val="Normal"/>
    <w:next w:val="Normal"/>
    <w:link w:val="Heading1Char"/>
    <w:uiPriority w:val="9"/>
    <w:qFormat/>
    <w:rsid w:val="00F4728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4728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F4728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4728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47289"/>
    <w:pPr>
      <w:tabs>
        <w:tab w:val="center" w:pos="4320"/>
        <w:tab w:val="right" w:pos="8640"/>
      </w:tabs>
    </w:pPr>
    <w:rPr>
      <w:rFonts w:asciiTheme="majorHAnsi" w:hAnsiTheme="majorHAnsi"/>
    </w:rPr>
  </w:style>
  <w:style w:type="character" w:customStyle="1" w:styleId="FooterChar">
    <w:name w:val="Footer Char"/>
    <w:basedOn w:val="DefaultParagraphFont"/>
    <w:link w:val="Footer"/>
    <w:rsid w:val="00F47289"/>
    <w:rPr>
      <w:rFonts w:asciiTheme="majorHAnsi" w:eastAsia="Times New Roman" w:hAnsiTheme="majorHAnsi" w:cs="Times New Roman"/>
      <w:sz w:val="20"/>
      <w:szCs w:val="20"/>
    </w:rPr>
  </w:style>
  <w:style w:type="character" w:styleId="PageNumber">
    <w:name w:val="page number"/>
    <w:basedOn w:val="DefaultParagraphFont"/>
    <w:semiHidden/>
    <w:rsid w:val="00F47289"/>
  </w:style>
  <w:style w:type="paragraph" w:customStyle="1" w:styleId="VersoHeader">
    <w:name w:val="Verso Header"/>
    <w:rsid w:val="00F47289"/>
    <w:pPr>
      <w:pBdr>
        <w:bottom w:val="single" w:sz="4" w:space="2" w:color="auto"/>
      </w:pBdr>
      <w:spacing w:after="360"/>
    </w:pPr>
    <w:rPr>
      <w:rFonts w:asciiTheme="majorHAnsi" w:eastAsia="Times New Roman" w:hAnsiTheme="majorHAnsi" w:cs="Times New Roman"/>
      <w:sz w:val="18"/>
      <w:szCs w:val="20"/>
    </w:rPr>
  </w:style>
  <w:style w:type="paragraph" w:styleId="Header">
    <w:name w:val="header"/>
    <w:basedOn w:val="Normal"/>
    <w:link w:val="HeaderChar"/>
    <w:uiPriority w:val="99"/>
    <w:unhideWhenUsed/>
    <w:rsid w:val="00F47289"/>
    <w:pPr>
      <w:tabs>
        <w:tab w:val="center" w:pos="4680"/>
        <w:tab w:val="right" w:pos="9360"/>
      </w:tabs>
    </w:pPr>
  </w:style>
  <w:style w:type="character" w:customStyle="1" w:styleId="HeaderChar">
    <w:name w:val="Header Char"/>
    <w:basedOn w:val="DefaultParagraphFont"/>
    <w:link w:val="Header"/>
    <w:uiPriority w:val="99"/>
    <w:rsid w:val="00F47289"/>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F4728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4728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47289"/>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F47289"/>
    <w:rPr>
      <w:rFonts w:asciiTheme="majorHAnsi" w:eastAsiaTheme="majorEastAsia" w:hAnsiTheme="majorHAnsi" w:cstheme="majorBidi"/>
      <w:i/>
      <w:iCs/>
      <w:color w:val="2F5496" w:themeColor="accent1" w:themeShade="BF"/>
      <w:sz w:val="20"/>
      <w:szCs w:val="20"/>
    </w:rPr>
  </w:style>
  <w:style w:type="paragraph" w:customStyle="1" w:styleId="T1">
    <w:name w:val="T1"/>
    <w:basedOn w:val="Normal"/>
    <w:rsid w:val="00A77714"/>
    <w:pPr>
      <w:keepNext/>
    </w:pPr>
    <w:rPr>
      <w:rFonts w:ascii="Times" w:hAnsi="Times"/>
      <w:sz w:val="22"/>
    </w:rPr>
  </w:style>
  <w:style w:type="paragraph" w:customStyle="1" w:styleId="T2">
    <w:name w:val="T2"/>
    <w:basedOn w:val="T1"/>
    <w:rsid w:val="00A77714"/>
    <w:pPr>
      <w:spacing w:before="200"/>
    </w:pPr>
  </w:style>
  <w:style w:type="paragraph" w:styleId="BalloonText">
    <w:name w:val="Balloon Text"/>
    <w:basedOn w:val="Normal"/>
    <w:link w:val="BalloonTextChar"/>
    <w:uiPriority w:val="99"/>
    <w:semiHidden/>
    <w:unhideWhenUsed/>
    <w:rsid w:val="00290B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BFB"/>
    <w:rPr>
      <w:rFonts w:ascii="Segoe UI" w:eastAsia="Times New Roman" w:hAnsi="Segoe UI" w:cs="Segoe UI"/>
      <w:sz w:val="18"/>
      <w:szCs w:val="18"/>
    </w:rPr>
  </w:style>
  <w:style w:type="paragraph" w:customStyle="1" w:styleId="TableParagraph">
    <w:name w:val="Table Paragraph"/>
    <w:basedOn w:val="Normal"/>
    <w:uiPriority w:val="1"/>
    <w:qFormat/>
    <w:rsid w:val="007A09DE"/>
    <w:pPr>
      <w:autoSpaceDE w:val="0"/>
      <w:autoSpaceDN w:val="0"/>
      <w:adjustRightInd w:val="0"/>
      <w:spacing w:line="273" w:lineRule="exact"/>
      <w:ind w:left="9"/>
    </w:pPr>
    <w:rPr>
      <w:sz w:val="24"/>
      <w:szCs w:val="24"/>
    </w:rPr>
  </w:style>
  <w:style w:type="paragraph" w:customStyle="1" w:styleId="H1">
    <w:name w:val="H1"/>
    <w:rsid w:val="00076160"/>
    <w:pPr>
      <w:tabs>
        <w:tab w:val="left" w:pos="0"/>
      </w:tabs>
      <w:suppressAutoHyphens/>
      <w:spacing w:after="200"/>
      <w:jc w:val="both"/>
    </w:pPr>
    <w:rPr>
      <w:rFonts w:ascii="Times" w:eastAsia="Times New Roman" w:hAnsi="Times" w:cs="Times New Roman"/>
      <w:b/>
      <w:caps/>
      <w:noProof/>
      <w:sz w:val="28"/>
      <w:szCs w:val="20"/>
    </w:rPr>
  </w:style>
  <w:style w:type="paragraph" w:styleId="ListParagraph">
    <w:name w:val="List Paragraph"/>
    <w:basedOn w:val="Normal"/>
    <w:uiPriority w:val="1"/>
    <w:qFormat/>
    <w:rsid w:val="00076160"/>
    <w:pPr>
      <w:spacing w:after="80" w:line="276" w:lineRule="auto"/>
      <w:ind w:left="720"/>
    </w:pPr>
    <w:rPr>
      <w:sz w:val="22"/>
      <w:szCs w:val="22"/>
    </w:rPr>
  </w:style>
  <w:style w:type="paragraph" w:customStyle="1" w:styleId="UNTBL">
    <w:name w:val="UNTBL"/>
    <w:basedOn w:val="Normal"/>
    <w:rsid w:val="00076160"/>
    <w:pPr>
      <w:widowControl w:val="0"/>
      <w:tabs>
        <w:tab w:val="right" w:pos="3415"/>
        <w:tab w:val="left" w:pos="3905"/>
        <w:tab w:val="right" w:pos="7080"/>
      </w:tabs>
      <w:autoSpaceDE w:val="0"/>
      <w:autoSpaceDN w:val="0"/>
      <w:adjustRightInd w:val="0"/>
      <w:spacing w:line="240" w:lineRule="atLeast"/>
      <w:ind w:left="240" w:right="240"/>
      <w:textAlignment w:val="center"/>
    </w:pPr>
    <w:rPr>
      <w:rFonts w:ascii="Berkeley Book" w:hAnsi="Berkeley Book" w:cs="Berkeley Book"/>
      <w:color w:val="000000"/>
      <w:sz w:val="21"/>
      <w:szCs w:val="21"/>
    </w:rPr>
  </w:style>
  <w:style w:type="paragraph" w:customStyle="1" w:styleId="Style2">
    <w:name w:val="Style2"/>
    <w:basedOn w:val="Normal"/>
    <w:qFormat/>
    <w:rsid w:val="00076160"/>
    <w:pPr>
      <w:keepNext/>
      <w:keepLines/>
      <w:tabs>
        <w:tab w:val="right" w:pos="270"/>
        <w:tab w:val="left" w:pos="450"/>
      </w:tabs>
      <w:spacing w:before="200" w:after="60"/>
      <w:ind w:left="446" w:hanging="446"/>
    </w:pPr>
    <w:rPr>
      <w:rFonts w:ascii="Times" w:hAnsi="Times"/>
      <w:sz w:val="22"/>
    </w:rPr>
  </w:style>
  <w:style w:type="character" w:customStyle="1" w:styleId="crnum">
    <w:name w:val="crnum"/>
    <w:rsid w:val="00076160"/>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erletis\Dropbox\Books\Mishkin%208Ce\IRM%20Excel%20files%208Ce\Chapter%201\Chapter%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10-year Canada bond rate and the M2++ growth rate</a:t>
            </a:r>
          </a:p>
        </c:rich>
      </c:tx>
      <c:overlay val="0"/>
      <c:spPr>
        <a:noFill/>
        <a:ln>
          <a:noFill/>
        </a:ln>
        <a:effectLst/>
      </c:spPr>
    </c:title>
    <c:autoTitleDeleted val="0"/>
    <c:plotArea>
      <c:layout/>
      <c:areaChart>
        <c:grouping val="standard"/>
        <c:varyColors val="0"/>
        <c:ser>
          <c:idx val="0"/>
          <c:order val="2"/>
          <c:spPr>
            <a:solidFill>
              <a:schemeClr val="accent1">
                <a:lumMod val="20000"/>
                <a:lumOff val="80000"/>
              </a:schemeClr>
            </a:solidFill>
            <a:ln>
              <a:noFill/>
            </a:ln>
            <a:effectLst/>
          </c:spPr>
          <c:val>
            <c:numRef>
              <c:f>'Problem 1 data'!$G$3:$G$253</c:f>
              <c:numCache>
                <c:formatCode>General</c:formatCode>
                <c:ptCount val="251"/>
                <c:pt idx="6">
                  <c:v>14</c:v>
                </c:pt>
                <c:pt idx="7">
                  <c:v>14</c:v>
                </c:pt>
                <c:pt idx="8">
                  <c:v>14</c:v>
                </c:pt>
                <c:pt idx="9">
                  <c:v>14</c:v>
                </c:pt>
                <c:pt idx="10">
                  <c:v>14</c:v>
                </c:pt>
                <c:pt idx="11">
                  <c:v>14</c:v>
                </c:pt>
                <c:pt idx="12">
                  <c:v>14</c:v>
                </c:pt>
                <c:pt idx="13">
                  <c:v>14</c:v>
                </c:pt>
                <c:pt idx="14">
                  <c:v>14</c:v>
                </c:pt>
                <c:pt idx="15">
                  <c:v>14</c:v>
                </c:pt>
                <c:pt idx="16">
                  <c:v>14</c:v>
                </c:pt>
                <c:pt idx="17">
                  <c:v>14</c:v>
                </c:pt>
                <c:pt idx="18">
                  <c:v>14</c:v>
                </c:pt>
                <c:pt idx="19">
                  <c:v>14</c:v>
                </c:pt>
                <c:pt idx="30">
                  <c:v>14</c:v>
                </c:pt>
                <c:pt idx="31">
                  <c:v>14</c:v>
                </c:pt>
                <c:pt idx="32">
                  <c:v>14</c:v>
                </c:pt>
                <c:pt idx="33">
                  <c:v>14</c:v>
                </c:pt>
                <c:pt idx="34">
                  <c:v>14</c:v>
                </c:pt>
                <c:pt idx="35">
                  <c:v>14</c:v>
                </c:pt>
                <c:pt idx="36">
                  <c:v>14</c:v>
                </c:pt>
                <c:pt idx="37">
                  <c:v>14</c:v>
                </c:pt>
                <c:pt idx="38">
                  <c:v>14</c:v>
                </c:pt>
                <c:pt idx="39">
                  <c:v>14</c:v>
                </c:pt>
                <c:pt idx="40">
                  <c:v>14</c:v>
                </c:pt>
                <c:pt idx="41">
                  <c:v>14</c:v>
                </c:pt>
                <c:pt idx="42">
                  <c:v>14</c:v>
                </c:pt>
                <c:pt idx="43">
                  <c:v>14</c:v>
                </c:pt>
                <c:pt idx="44">
                  <c:v>14</c:v>
                </c:pt>
                <c:pt idx="45">
                  <c:v>14</c:v>
                </c:pt>
                <c:pt idx="91">
                  <c:v>14</c:v>
                </c:pt>
                <c:pt idx="92">
                  <c:v>14</c:v>
                </c:pt>
                <c:pt idx="93">
                  <c:v>14</c:v>
                </c:pt>
                <c:pt idx="94">
                  <c:v>14</c:v>
                </c:pt>
                <c:pt idx="95">
                  <c:v>14</c:v>
                </c:pt>
                <c:pt idx="96">
                  <c:v>14</c:v>
                </c:pt>
                <c:pt idx="97">
                  <c:v>14</c:v>
                </c:pt>
                <c:pt idx="98">
                  <c:v>14</c:v>
                </c:pt>
                <c:pt idx="99">
                  <c:v>14</c:v>
                </c:pt>
                <c:pt idx="100">
                  <c:v>14</c:v>
                </c:pt>
                <c:pt idx="101">
                  <c:v>14</c:v>
                </c:pt>
                <c:pt idx="102">
                  <c:v>14</c:v>
                </c:pt>
                <c:pt idx="103">
                  <c:v>14</c:v>
                </c:pt>
                <c:pt idx="104">
                  <c:v>14</c:v>
                </c:pt>
                <c:pt idx="105">
                  <c:v>14</c:v>
                </c:pt>
                <c:pt idx="106">
                  <c:v>14</c:v>
                </c:pt>
                <c:pt idx="107">
                  <c:v>14</c:v>
                </c:pt>
                <c:pt idx="108">
                  <c:v>14</c:v>
                </c:pt>
                <c:pt idx="109">
                  <c:v>14</c:v>
                </c:pt>
                <c:pt idx="110">
                  <c:v>14</c:v>
                </c:pt>
                <c:pt idx="111">
                  <c:v>14</c:v>
                </c:pt>
                <c:pt idx="112">
                  <c:v>14</c:v>
                </c:pt>
                <c:pt idx="113">
                  <c:v>14</c:v>
                </c:pt>
                <c:pt idx="114">
                  <c:v>14</c:v>
                </c:pt>
                <c:pt idx="142">
                  <c:v>14</c:v>
                </c:pt>
                <c:pt idx="143">
                  <c:v>14</c:v>
                </c:pt>
                <c:pt idx="144">
                  <c:v>14</c:v>
                </c:pt>
                <c:pt idx="145">
                  <c:v>14</c:v>
                </c:pt>
                <c:pt idx="146">
                  <c:v>14</c:v>
                </c:pt>
                <c:pt idx="147">
                  <c:v>14</c:v>
                </c:pt>
                <c:pt idx="148">
                  <c:v>14</c:v>
                </c:pt>
                <c:pt idx="149">
                  <c:v>14</c:v>
                </c:pt>
                <c:pt idx="150">
                  <c:v>14</c:v>
                </c:pt>
                <c:pt idx="151">
                  <c:v>14</c:v>
                </c:pt>
                <c:pt idx="152">
                  <c:v>14</c:v>
                </c:pt>
                <c:pt idx="153">
                  <c:v>14</c:v>
                </c:pt>
                <c:pt idx="154">
                  <c:v>14</c:v>
                </c:pt>
                <c:pt idx="176">
                  <c:v>14</c:v>
                </c:pt>
                <c:pt idx="177">
                  <c:v>14</c:v>
                </c:pt>
                <c:pt idx="178">
                  <c:v>14</c:v>
                </c:pt>
                <c:pt idx="179">
                  <c:v>14</c:v>
                </c:pt>
                <c:pt idx="180">
                  <c:v>14</c:v>
                </c:pt>
                <c:pt idx="181">
                  <c:v>14</c:v>
                </c:pt>
                <c:pt idx="182">
                  <c:v>14</c:v>
                </c:pt>
                <c:pt idx="183">
                  <c:v>14</c:v>
                </c:pt>
                <c:pt idx="184">
                  <c:v>14</c:v>
                </c:pt>
                <c:pt idx="185">
                  <c:v>14</c:v>
                </c:pt>
                <c:pt idx="186">
                  <c:v>14</c:v>
                </c:pt>
                <c:pt idx="187">
                  <c:v>14</c:v>
                </c:pt>
                <c:pt idx="188">
                  <c:v>14</c:v>
                </c:pt>
                <c:pt idx="189">
                  <c:v>14</c:v>
                </c:pt>
                <c:pt idx="190">
                  <c:v>14</c:v>
                </c:pt>
                <c:pt idx="191">
                  <c:v>14</c:v>
                </c:pt>
                <c:pt idx="192">
                  <c:v>14</c:v>
                </c:pt>
                <c:pt idx="193">
                  <c:v>14</c:v>
                </c:pt>
                <c:pt idx="194">
                  <c:v>14</c:v>
                </c:pt>
                <c:pt idx="195">
                  <c:v>14</c:v>
                </c:pt>
                <c:pt idx="196">
                  <c:v>14</c:v>
                </c:pt>
                <c:pt idx="197">
                  <c:v>14</c:v>
                </c:pt>
                <c:pt idx="211">
                  <c:v>14</c:v>
                </c:pt>
                <c:pt idx="212">
                  <c:v>14</c:v>
                </c:pt>
                <c:pt idx="213">
                  <c:v>14</c:v>
                </c:pt>
                <c:pt idx="214">
                  <c:v>14</c:v>
                </c:pt>
                <c:pt idx="215">
                  <c:v>14</c:v>
                </c:pt>
                <c:pt idx="216">
                  <c:v>14</c:v>
                </c:pt>
                <c:pt idx="217">
                  <c:v>14</c:v>
                </c:pt>
                <c:pt idx="218">
                  <c:v>14</c:v>
                </c:pt>
                <c:pt idx="219">
                  <c:v>14</c:v>
                </c:pt>
                <c:pt idx="220">
                  <c:v>14</c:v>
                </c:pt>
                <c:pt idx="221">
                  <c:v>14</c:v>
                </c:pt>
                <c:pt idx="222">
                  <c:v>14</c:v>
                </c:pt>
                <c:pt idx="223">
                  <c:v>14</c:v>
                </c:pt>
                <c:pt idx="224">
                  <c:v>14</c:v>
                </c:pt>
                <c:pt idx="225">
                  <c:v>14</c:v>
                </c:pt>
                <c:pt idx="226">
                  <c:v>14</c:v>
                </c:pt>
                <c:pt idx="227">
                  <c:v>14</c:v>
                </c:pt>
                <c:pt idx="228">
                  <c:v>14</c:v>
                </c:pt>
                <c:pt idx="229">
                  <c:v>14</c:v>
                </c:pt>
                <c:pt idx="242">
                  <c:v>14</c:v>
                </c:pt>
                <c:pt idx="243">
                  <c:v>14</c:v>
                </c:pt>
                <c:pt idx="244">
                  <c:v>14</c:v>
                </c:pt>
                <c:pt idx="245">
                  <c:v>14</c:v>
                </c:pt>
                <c:pt idx="246">
                  <c:v>14</c:v>
                </c:pt>
                <c:pt idx="247">
                  <c:v>14</c:v>
                </c:pt>
                <c:pt idx="248">
                  <c:v>14</c:v>
                </c:pt>
                <c:pt idx="249">
                  <c:v>14</c:v>
                </c:pt>
                <c:pt idx="250">
                  <c:v>14</c:v>
                </c:pt>
              </c:numCache>
            </c:numRef>
          </c:val>
          <c:extLst>
            <c:ext xmlns:c16="http://schemas.microsoft.com/office/drawing/2014/chart" uri="{C3380CC4-5D6E-409C-BE32-E72D297353CC}">
              <c16:uniqueId val="{00000000-9D62-4E66-9069-CF509467E901}"/>
            </c:ext>
          </c:extLst>
        </c:ser>
        <c:dLbls>
          <c:showLegendKey val="0"/>
          <c:showVal val="0"/>
          <c:showCatName val="0"/>
          <c:showSerName val="0"/>
          <c:showPercent val="0"/>
          <c:showBubbleSize val="0"/>
        </c:dLbls>
        <c:axId val="117298304"/>
        <c:axId val="117299840"/>
      </c:areaChart>
      <c:lineChart>
        <c:grouping val="standard"/>
        <c:varyColors val="0"/>
        <c:ser>
          <c:idx val="1"/>
          <c:order val="0"/>
          <c:tx>
            <c:v>10 year bond rate</c:v>
          </c:tx>
          <c:spPr>
            <a:ln w="28575" cap="rnd">
              <a:solidFill>
                <a:schemeClr val="accent2"/>
              </a:solidFill>
              <a:round/>
            </a:ln>
            <a:effectLst/>
          </c:spPr>
          <c:marker>
            <c:symbol val="none"/>
          </c:marker>
          <c:cat>
            <c:numRef>
              <c:f>'Problem 1 data'!$B$3:$B$253</c:f>
              <c:numCache>
                <c:formatCode>General</c:formatCode>
                <c:ptCount val="251"/>
                <c:pt idx="0">
                  <c:v>2000</c:v>
                </c:pt>
                <c:pt idx="1">
                  <c:v>2000</c:v>
                </c:pt>
                <c:pt idx="2">
                  <c:v>2000</c:v>
                </c:pt>
                <c:pt idx="3">
                  <c:v>2000</c:v>
                </c:pt>
                <c:pt idx="4">
                  <c:v>2000</c:v>
                </c:pt>
                <c:pt idx="5">
                  <c:v>2000</c:v>
                </c:pt>
                <c:pt idx="6">
                  <c:v>2000</c:v>
                </c:pt>
                <c:pt idx="7">
                  <c:v>2000</c:v>
                </c:pt>
                <c:pt idx="8">
                  <c:v>2000</c:v>
                </c:pt>
                <c:pt idx="9">
                  <c:v>2000</c:v>
                </c:pt>
                <c:pt idx="10">
                  <c:v>2000</c:v>
                </c:pt>
                <c:pt idx="11">
                  <c:v>2000</c:v>
                </c:pt>
                <c:pt idx="12">
                  <c:v>2001</c:v>
                </c:pt>
                <c:pt idx="13">
                  <c:v>2001</c:v>
                </c:pt>
                <c:pt idx="14">
                  <c:v>2001</c:v>
                </c:pt>
                <c:pt idx="15">
                  <c:v>2001</c:v>
                </c:pt>
                <c:pt idx="16">
                  <c:v>2001</c:v>
                </c:pt>
                <c:pt idx="17">
                  <c:v>2001</c:v>
                </c:pt>
                <c:pt idx="18">
                  <c:v>2001</c:v>
                </c:pt>
                <c:pt idx="19">
                  <c:v>2001</c:v>
                </c:pt>
                <c:pt idx="20">
                  <c:v>2001</c:v>
                </c:pt>
                <c:pt idx="21">
                  <c:v>2001</c:v>
                </c:pt>
                <c:pt idx="22">
                  <c:v>2001</c:v>
                </c:pt>
                <c:pt idx="23">
                  <c:v>2001</c:v>
                </c:pt>
                <c:pt idx="24">
                  <c:v>2002</c:v>
                </c:pt>
                <c:pt idx="25">
                  <c:v>2002</c:v>
                </c:pt>
                <c:pt idx="26">
                  <c:v>2002</c:v>
                </c:pt>
                <c:pt idx="27">
                  <c:v>2002</c:v>
                </c:pt>
                <c:pt idx="28">
                  <c:v>2002</c:v>
                </c:pt>
                <c:pt idx="29">
                  <c:v>2002</c:v>
                </c:pt>
                <c:pt idx="30">
                  <c:v>2002</c:v>
                </c:pt>
                <c:pt idx="31">
                  <c:v>2002</c:v>
                </c:pt>
                <c:pt idx="32">
                  <c:v>2002</c:v>
                </c:pt>
                <c:pt idx="33">
                  <c:v>2002</c:v>
                </c:pt>
                <c:pt idx="34">
                  <c:v>2002</c:v>
                </c:pt>
                <c:pt idx="35">
                  <c:v>2002</c:v>
                </c:pt>
                <c:pt idx="36">
                  <c:v>2003</c:v>
                </c:pt>
                <c:pt idx="37">
                  <c:v>2003</c:v>
                </c:pt>
                <c:pt idx="38">
                  <c:v>2003</c:v>
                </c:pt>
                <c:pt idx="39">
                  <c:v>2003</c:v>
                </c:pt>
                <c:pt idx="40">
                  <c:v>2003</c:v>
                </c:pt>
                <c:pt idx="41">
                  <c:v>2003</c:v>
                </c:pt>
                <c:pt idx="42">
                  <c:v>2003</c:v>
                </c:pt>
                <c:pt idx="43">
                  <c:v>2003</c:v>
                </c:pt>
                <c:pt idx="44">
                  <c:v>2003</c:v>
                </c:pt>
                <c:pt idx="45">
                  <c:v>2003</c:v>
                </c:pt>
                <c:pt idx="46">
                  <c:v>2003</c:v>
                </c:pt>
                <c:pt idx="47">
                  <c:v>2003</c:v>
                </c:pt>
                <c:pt idx="48">
                  <c:v>2004</c:v>
                </c:pt>
                <c:pt idx="49">
                  <c:v>2004</c:v>
                </c:pt>
                <c:pt idx="50">
                  <c:v>2004</c:v>
                </c:pt>
                <c:pt idx="51">
                  <c:v>2004</c:v>
                </c:pt>
                <c:pt idx="52">
                  <c:v>2004</c:v>
                </c:pt>
                <c:pt idx="53">
                  <c:v>2004</c:v>
                </c:pt>
                <c:pt idx="54">
                  <c:v>2004</c:v>
                </c:pt>
                <c:pt idx="55">
                  <c:v>2004</c:v>
                </c:pt>
                <c:pt idx="56">
                  <c:v>2004</c:v>
                </c:pt>
                <c:pt idx="57">
                  <c:v>2004</c:v>
                </c:pt>
                <c:pt idx="58">
                  <c:v>2004</c:v>
                </c:pt>
                <c:pt idx="59">
                  <c:v>2004</c:v>
                </c:pt>
                <c:pt idx="60">
                  <c:v>2005</c:v>
                </c:pt>
                <c:pt idx="61">
                  <c:v>2005</c:v>
                </c:pt>
                <c:pt idx="62">
                  <c:v>2005</c:v>
                </c:pt>
                <c:pt idx="63">
                  <c:v>2005</c:v>
                </c:pt>
                <c:pt idx="64">
                  <c:v>2005</c:v>
                </c:pt>
                <c:pt idx="65">
                  <c:v>2005</c:v>
                </c:pt>
                <c:pt idx="66">
                  <c:v>2005</c:v>
                </c:pt>
                <c:pt idx="67">
                  <c:v>2005</c:v>
                </c:pt>
                <c:pt idx="68">
                  <c:v>2005</c:v>
                </c:pt>
                <c:pt idx="69">
                  <c:v>2005</c:v>
                </c:pt>
                <c:pt idx="70">
                  <c:v>2005</c:v>
                </c:pt>
                <c:pt idx="71">
                  <c:v>2005</c:v>
                </c:pt>
                <c:pt idx="72">
                  <c:v>2006</c:v>
                </c:pt>
                <c:pt idx="73">
                  <c:v>2006</c:v>
                </c:pt>
                <c:pt idx="74">
                  <c:v>2006</c:v>
                </c:pt>
                <c:pt idx="75">
                  <c:v>2006</c:v>
                </c:pt>
                <c:pt idx="76">
                  <c:v>2006</c:v>
                </c:pt>
                <c:pt idx="77">
                  <c:v>2006</c:v>
                </c:pt>
                <c:pt idx="78">
                  <c:v>2006</c:v>
                </c:pt>
                <c:pt idx="79">
                  <c:v>2006</c:v>
                </c:pt>
                <c:pt idx="80">
                  <c:v>2006</c:v>
                </c:pt>
                <c:pt idx="81">
                  <c:v>2006</c:v>
                </c:pt>
                <c:pt idx="82">
                  <c:v>2006</c:v>
                </c:pt>
                <c:pt idx="83">
                  <c:v>2006</c:v>
                </c:pt>
                <c:pt idx="84">
                  <c:v>2007</c:v>
                </c:pt>
                <c:pt idx="85">
                  <c:v>2007</c:v>
                </c:pt>
                <c:pt idx="86">
                  <c:v>2007</c:v>
                </c:pt>
                <c:pt idx="87">
                  <c:v>2007</c:v>
                </c:pt>
                <c:pt idx="88">
                  <c:v>2007</c:v>
                </c:pt>
                <c:pt idx="89">
                  <c:v>2007</c:v>
                </c:pt>
                <c:pt idx="90">
                  <c:v>2007</c:v>
                </c:pt>
                <c:pt idx="91">
                  <c:v>2007</c:v>
                </c:pt>
                <c:pt idx="92">
                  <c:v>2007</c:v>
                </c:pt>
                <c:pt idx="93">
                  <c:v>2007</c:v>
                </c:pt>
                <c:pt idx="94">
                  <c:v>2007</c:v>
                </c:pt>
                <c:pt idx="95">
                  <c:v>2007</c:v>
                </c:pt>
                <c:pt idx="96">
                  <c:v>2008</c:v>
                </c:pt>
                <c:pt idx="97">
                  <c:v>2008</c:v>
                </c:pt>
                <c:pt idx="98">
                  <c:v>2008</c:v>
                </c:pt>
                <c:pt idx="99">
                  <c:v>2008</c:v>
                </c:pt>
                <c:pt idx="100">
                  <c:v>2008</c:v>
                </c:pt>
                <c:pt idx="101">
                  <c:v>2008</c:v>
                </c:pt>
                <c:pt idx="102">
                  <c:v>2008</c:v>
                </c:pt>
                <c:pt idx="103">
                  <c:v>2008</c:v>
                </c:pt>
                <c:pt idx="104">
                  <c:v>2008</c:v>
                </c:pt>
                <c:pt idx="105">
                  <c:v>2008</c:v>
                </c:pt>
                <c:pt idx="106">
                  <c:v>2008</c:v>
                </c:pt>
                <c:pt idx="107">
                  <c:v>2008</c:v>
                </c:pt>
                <c:pt idx="108">
                  <c:v>2009</c:v>
                </c:pt>
                <c:pt idx="109">
                  <c:v>2009</c:v>
                </c:pt>
                <c:pt idx="110">
                  <c:v>2009</c:v>
                </c:pt>
                <c:pt idx="111">
                  <c:v>2009</c:v>
                </c:pt>
                <c:pt idx="112">
                  <c:v>2009</c:v>
                </c:pt>
                <c:pt idx="113">
                  <c:v>2009</c:v>
                </c:pt>
                <c:pt idx="114">
                  <c:v>2009</c:v>
                </c:pt>
                <c:pt idx="115">
                  <c:v>2009</c:v>
                </c:pt>
                <c:pt idx="116">
                  <c:v>2009</c:v>
                </c:pt>
                <c:pt idx="117">
                  <c:v>2009</c:v>
                </c:pt>
                <c:pt idx="118">
                  <c:v>2009</c:v>
                </c:pt>
                <c:pt idx="119">
                  <c:v>2009</c:v>
                </c:pt>
                <c:pt idx="120">
                  <c:v>2010</c:v>
                </c:pt>
                <c:pt idx="121">
                  <c:v>2010</c:v>
                </c:pt>
                <c:pt idx="122">
                  <c:v>2010</c:v>
                </c:pt>
                <c:pt idx="123">
                  <c:v>2010</c:v>
                </c:pt>
                <c:pt idx="124">
                  <c:v>2010</c:v>
                </c:pt>
                <c:pt idx="125">
                  <c:v>2010</c:v>
                </c:pt>
                <c:pt idx="126">
                  <c:v>2010</c:v>
                </c:pt>
                <c:pt idx="127">
                  <c:v>2010</c:v>
                </c:pt>
                <c:pt idx="128">
                  <c:v>2010</c:v>
                </c:pt>
                <c:pt idx="129">
                  <c:v>2010</c:v>
                </c:pt>
                <c:pt idx="130">
                  <c:v>2010</c:v>
                </c:pt>
                <c:pt idx="131">
                  <c:v>2010</c:v>
                </c:pt>
                <c:pt idx="132">
                  <c:v>2011</c:v>
                </c:pt>
                <c:pt idx="133">
                  <c:v>2011</c:v>
                </c:pt>
                <c:pt idx="134">
                  <c:v>2011</c:v>
                </c:pt>
                <c:pt idx="135">
                  <c:v>2011</c:v>
                </c:pt>
                <c:pt idx="136">
                  <c:v>2011</c:v>
                </c:pt>
                <c:pt idx="137">
                  <c:v>2011</c:v>
                </c:pt>
                <c:pt idx="138">
                  <c:v>2011</c:v>
                </c:pt>
                <c:pt idx="139">
                  <c:v>2011</c:v>
                </c:pt>
                <c:pt idx="140">
                  <c:v>2011</c:v>
                </c:pt>
                <c:pt idx="141">
                  <c:v>2011</c:v>
                </c:pt>
                <c:pt idx="142">
                  <c:v>2011</c:v>
                </c:pt>
                <c:pt idx="143">
                  <c:v>2011</c:v>
                </c:pt>
                <c:pt idx="144">
                  <c:v>2012</c:v>
                </c:pt>
                <c:pt idx="145">
                  <c:v>2012</c:v>
                </c:pt>
                <c:pt idx="146">
                  <c:v>2012</c:v>
                </c:pt>
                <c:pt idx="147">
                  <c:v>2012</c:v>
                </c:pt>
                <c:pt idx="148">
                  <c:v>2012</c:v>
                </c:pt>
                <c:pt idx="149">
                  <c:v>2012</c:v>
                </c:pt>
                <c:pt idx="150">
                  <c:v>2012</c:v>
                </c:pt>
                <c:pt idx="151">
                  <c:v>2012</c:v>
                </c:pt>
                <c:pt idx="152">
                  <c:v>2012</c:v>
                </c:pt>
                <c:pt idx="153">
                  <c:v>2012</c:v>
                </c:pt>
                <c:pt idx="154">
                  <c:v>2012</c:v>
                </c:pt>
                <c:pt idx="155">
                  <c:v>2012</c:v>
                </c:pt>
                <c:pt idx="156">
                  <c:v>2013</c:v>
                </c:pt>
                <c:pt idx="157">
                  <c:v>2013</c:v>
                </c:pt>
                <c:pt idx="158">
                  <c:v>2013</c:v>
                </c:pt>
                <c:pt idx="159">
                  <c:v>2013</c:v>
                </c:pt>
                <c:pt idx="160">
                  <c:v>2013</c:v>
                </c:pt>
                <c:pt idx="161">
                  <c:v>2013</c:v>
                </c:pt>
                <c:pt idx="162">
                  <c:v>2013</c:v>
                </c:pt>
                <c:pt idx="163">
                  <c:v>2013</c:v>
                </c:pt>
                <c:pt idx="164">
                  <c:v>2013</c:v>
                </c:pt>
                <c:pt idx="165">
                  <c:v>2013</c:v>
                </c:pt>
                <c:pt idx="166">
                  <c:v>2013</c:v>
                </c:pt>
                <c:pt idx="167">
                  <c:v>2013</c:v>
                </c:pt>
                <c:pt idx="168">
                  <c:v>2014</c:v>
                </c:pt>
                <c:pt idx="169">
                  <c:v>2014</c:v>
                </c:pt>
                <c:pt idx="170">
                  <c:v>2014</c:v>
                </c:pt>
                <c:pt idx="171">
                  <c:v>2014</c:v>
                </c:pt>
                <c:pt idx="172">
                  <c:v>2014</c:v>
                </c:pt>
                <c:pt idx="173">
                  <c:v>2014</c:v>
                </c:pt>
                <c:pt idx="174">
                  <c:v>2014</c:v>
                </c:pt>
                <c:pt idx="175">
                  <c:v>2014</c:v>
                </c:pt>
                <c:pt idx="176">
                  <c:v>2014</c:v>
                </c:pt>
                <c:pt idx="177">
                  <c:v>2014</c:v>
                </c:pt>
                <c:pt idx="178">
                  <c:v>2014</c:v>
                </c:pt>
                <c:pt idx="179">
                  <c:v>2014</c:v>
                </c:pt>
                <c:pt idx="180">
                  <c:v>2015</c:v>
                </c:pt>
                <c:pt idx="181">
                  <c:v>2015</c:v>
                </c:pt>
                <c:pt idx="182">
                  <c:v>2015</c:v>
                </c:pt>
                <c:pt idx="183">
                  <c:v>2015</c:v>
                </c:pt>
                <c:pt idx="184">
                  <c:v>2015</c:v>
                </c:pt>
                <c:pt idx="185">
                  <c:v>2015</c:v>
                </c:pt>
                <c:pt idx="186">
                  <c:v>2015</c:v>
                </c:pt>
                <c:pt idx="187">
                  <c:v>2015</c:v>
                </c:pt>
                <c:pt idx="188">
                  <c:v>2015</c:v>
                </c:pt>
                <c:pt idx="189">
                  <c:v>2015</c:v>
                </c:pt>
                <c:pt idx="190">
                  <c:v>2015</c:v>
                </c:pt>
                <c:pt idx="191">
                  <c:v>2015</c:v>
                </c:pt>
                <c:pt idx="192">
                  <c:v>2016</c:v>
                </c:pt>
                <c:pt idx="193">
                  <c:v>2016</c:v>
                </c:pt>
                <c:pt idx="194">
                  <c:v>2016</c:v>
                </c:pt>
                <c:pt idx="195">
                  <c:v>2016</c:v>
                </c:pt>
                <c:pt idx="196">
                  <c:v>2016</c:v>
                </c:pt>
                <c:pt idx="197">
                  <c:v>2016</c:v>
                </c:pt>
                <c:pt idx="198">
                  <c:v>2016</c:v>
                </c:pt>
                <c:pt idx="199">
                  <c:v>2016</c:v>
                </c:pt>
                <c:pt idx="200">
                  <c:v>2016</c:v>
                </c:pt>
                <c:pt idx="201">
                  <c:v>2016</c:v>
                </c:pt>
                <c:pt idx="202">
                  <c:v>2016</c:v>
                </c:pt>
                <c:pt idx="203">
                  <c:v>2016</c:v>
                </c:pt>
                <c:pt idx="204">
                  <c:v>2017</c:v>
                </c:pt>
                <c:pt idx="205">
                  <c:v>2017</c:v>
                </c:pt>
                <c:pt idx="206">
                  <c:v>2017</c:v>
                </c:pt>
                <c:pt idx="207">
                  <c:v>2017</c:v>
                </c:pt>
                <c:pt idx="208">
                  <c:v>2017</c:v>
                </c:pt>
                <c:pt idx="209">
                  <c:v>2017</c:v>
                </c:pt>
                <c:pt idx="210">
                  <c:v>2017</c:v>
                </c:pt>
                <c:pt idx="211">
                  <c:v>2017</c:v>
                </c:pt>
                <c:pt idx="212">
                  <c:v>2017</c:v>
                </c:pt>
                <c:pt idx="213">
                  <c:v>2017</c:v>
                </c:pt>
                <c:pt idx="214">
                  <c:v>2017</c:v>
                </c:pt>
                <c:pt idx="215">
                  <c:v>2017</c:v>
                </c:pt>
                <c:pt idx="216">
                  <c:v>2018</c:v>
                </c:pt>
                <c:pt idx="217">
                  <c:v>2018</c:v>
                </c:pt>
                <c:pt idx="218">
                  <c:v>2018</c:v>
                </c:pt>
                <c:pt idx="219">
                  <c:v>2018</c:v>
                </c:pt>
                <c:pt idx="220">
                  <c:v>2018</c:v>
                </c:pt>
                <c:pt idx="221">
                  <c:v>2018</c:v>
                </c:pt>
                <c:pt idx="222">
                  <c:v>2018</c:v>
                </c:pt>
                <c:pt idx="223">
                  <c:v>2018</c:v>
                </c:pt>
                <c:pt idx="224">
                  <c:v>2018</c:v>
                </c:pt>
                <c:pt idx="225">
                  <c:v>2018</c:v>
                </c:pt>
                <c:pt idx="226">
                  <c:v>2018</c:v>
                </c:pt>
                <c:pt idx="227">
                  <c:v>2018</c:v>
                </c:pt>
                <c:pt idx="228">
                  <c:v>2019</c:v>
                </c:pt>
                <c:pt idx="229">
                  <c:v>2019</c:v>
                </c:pt>
                <c:pt idx="230">
                  <c:v>2019</c:v>
                </c:pt>
                <c:pt idx="231">
                  <c:v>2019</c:v>
                </c:pt>
                <c:pt idx="232">
                  <c:v>2019</c:v>
                </c:pt>
                <c:pt idx="233">
                  <c:v>2019</c:v>
                </c:pt>
                <c:pt idx="234">
                  <c:v>2019</c:v>
                </c:pt>
                <c:pt idx="235">
                  <c:v>2019</c:v>
                </c:pt>
                <c:pt idx="236">
                  <c:v>2019</c:v>
                </c:pt>
                <c:pt idx="237">
                  <c:v>2019</c:v>
                </c:pt>
                <c:pt idx="238">
                  <c:v>2019</c:v>
                </c:pt>
                <c:pt idx="239">
                  <c:v>2019</c:v>
                </c:pt>
                <c:pt idx="240">
                  <c:v>2020</c:v>
                </c:pt>
                <c:pt idx="241">
                  <c:v>2020</c:v>
                </c:pt>
                <c:pt idx="242">
                  <c:v>2020</c:v>
                </c:pt>
                <c:pt idx="243">
                  <c:v>2020</c:v>
                </c:pt>
                <c:pt idx="244">
                  <c:v>2020</c:v>
                </c:pt>
                <c:pt idx="245">
                  <c:v>2020</c:v>
                </c:pt>
                <c:pt idx="246">
                  <c:v>2020</c:v>
                </c:pt>
                <c:pt idx="247">
                  <c:v>2020</c:v>
                </c:pt>
                <c:pt idx="248">
                  <c:v>2020</c:v>
                </c:pt>
                <c:pt idx="249">
                  <c:v>2020</c:v>
                </c:pt>
                <c:pt idx="250">
                  <c:v>2020</c:v>
                </c:pt>
              </c:numCache>
            </c:numRef>
          </c:cat>
          <c:val>
            <c:numRef>
              <c:f>'Problem 1 data'!$E$3:$E$253</c:f>
              <c:numCache>
                <c:formatCode>General</c:formatCode>
                <c:ptCount val="251"/>
                <c:pt idx="0">
                  <c:v>6.44</c:v>
                </c:pt>
                <c:pt idx="1">
                  <c:v>6.1899999999999995</c:v>
                </c:pt>
                <c:pt idx="2">
                  <c:v>6.03</c:v>
                </c:pt>
                <c:pt idx="3">
                  <c:v>6.1</c:v>
                </c:pt>
                <c:pt idx="4">
                  <c:v>6</c:v>
                </c:pt>
                <c:pt idx="5">
                  <c:v>5.9300000000000015</c:v>
                </c:pt>
                <c:pt idx="6">
                  <c:v>5.8599999999999985</c:v>
                </c:pt>
                <c:pt idx="7">
                  <c:v>5.7700000000000014</c:v>
                </c:pt>
                <c:pt idx="8">
                  <c:v>5.75</c:v>
                </c:pt>
                <c:pt idx="9">
                  <c:v>5.72</c:v>
                </c:pt>
                <c:pt idx="10">
                  <c:v>5.54</c:v>
                </c:pt>
                <c:pt idx="11">
                  <c:v>5.35</c:v>
                </c:pt>
                <c:pt idx="12">
                  <c:v>5.39</c:v>
                </c:pt>
                <c:pt idx="13">
                  <c:v>5.3599999999999985</c:v>
                </c:pt>
                <c:pt idx="14">
                  <c:v>5.41</c:v>
                </c:pt>
                <c:pt idx="15">
                  <c:v>5.6599999999999984</c:v>
                </c:pt>
                <c:pt idx="16">
                  <c:v>5.96</c:v>
                </c:pt>
                <c:pt idx="17">
                  <c:v>5.73</c:v>
                </c:pt>
                <c:pt idx="18">
                  <c:v>5.76</c:v>
                </c:pt>
                <c:pt idx="19">
                  <c:v>5.3599999999999985</c:v>
                </c:pt>
                <c:pt idx="20">
                  <c:v>5.3199999999999985</c:v>
                </c:pt>
                <c:pt idx="21">
                  <c:v>4.8599999999999985</c:v>
                </c:pt>
                <c:pt idx="22">
                  <c:v>5.3599999999999985</c:v>
                </c:pt>
                <c:pt idx="23">
                  <c:v>5.44</c:v>
                </c:pt>
                <c:pt idx="24">
                  <c:v>5.42</c:v>
                </c:pt>
                <c:pt idx="25">
                  <c:v>5.31</c:v>
                </c:pt>
                <c:pt idx="26">
                  <c:v>5.79</c:v>
                </c:pt>
                <c:pt idx="27">
                  <c:v>5.64</c:v>
                </c:pt>
                <c:pt idx="28">
                  <c:v>5.49</c:v>
                </c:pt>
                <c:pt idx="29">
                  <c:v>5.37</c:v>
                </c:pt>
                <c:pt idx="30">
                  <c:v>5.23</c:v>
                </c:pt>
                <c:pt idx="31">
                  <c:v>5.14</c:v>
                </c:pt>
                <c:pt idx="32">
                  <c:v>4.92</c:v>
                </c:pt>
                <c:pt idx="33">
                  <c:v>5.1599999999999984</c:v>
                </c:pt>
                <c:pt idx="34">
                  <c:v>5.18</c:v>
                </c:pt>
                <c:pt idx="35">
                  <c:v>4.88</c:v>
                </c:pt>
                <c:pt idx="36">
                  <c:v>5.0199999999999996</c:v>
                </c:pt>
                <c:pt idx="37">
                  <c:v>4.9300000000000015</c:v>
                </c:pt>
                <c:pt idx="38">
                  <c:v>5.13</c:v>
                </c:pt>
                <c:pt idx="39">
                  <c:v>4.9000000000000004</c:v>
                </c:pt>
                <c:pt idx="40">
                  <c:v>4.5</c:v>
                </c:pt>
                <c:pt idx="41">
                  <c:v>4.37</c:v>
                </c:pt>
                <c:pt idx="42">
                  <c:v>4.78</c:v>
                </c:pt>
                <c:pt idx="43">
                  <c:v>4.96</c:v>
                </c:pt>
                <c:pt idx="44">
                  <c:v>4.6399999999999997</c:v>
                </c:pt>
                <c:pt idx="45">
                  <c:v>4.8499999999999996</c:v>
                </c:pt>
                <c:pt idx="46">
                  <c:v>4.79</c:v>
                </c:pt>
                <c:pt idx="47">
                  <c:v>4.6599999999999984</c:v>
                </c:pt>
                <c:pt idx="48">
                  <c:v>4.6099999999999985</c:v>
                </c:pt>
                <c:pt idx="49">
                  <c:v>4.41</c:v>
                </c:pt>
                <c:pt idx="50">
                  <c:v>4.33</c:v>
                </c:pt>
                <c:pt idx="51">
                  <c:v>4.71</c:v>
                </c:pt>
                <c:pt idx="52">
                  <c:v>4.7699999999999996</c:v>
                </c:pt>
                <c:pt idx="53">
                  <c:v>4.83</c:v>
                </c:pt>
                <c:pt idx="54">
                  <c:v>4.8199999999999985</c:v>
                </c:pt>
                <c:pt idx="55">
                  <c:v>4.68</c:v>
                </c:pt>
                <c:pt idx="56">
                  <c:v>4.58</c:v>
                </c:pt>
                <c:pt idx="57">
                  <c:v>4.5199999999999996</c:v>
                </c:pt>
                <c:pt idx="58">
                  <c:v>4.4400000000000004</c:v>
                </c:pt>
                <c:pt idx="59">
                  <c:v>4.3899999999999997</c:v>
                </c:pt>
                <c:pt idx="60">
                  <c:v>4.21</c:v>
                </c:pt>
                <c:pt idx="61">
                  <c:v>4.28</c:v>
                </c:pt>
                <c:pt idx="62">
                  <c:v>4.3899999999999997</c:v>
                </c:pt>
                <c:pt idx="63">
                  <c:v>4.1399999999999997</c:v>
                </c:pt>
                <c:pt idx="64">
                  <c:v>4.0199999999999996</c:v>
                </c:pt>
                <c:pt idx="65">
                  <c:v>3.8099999999999992</c:v>
                </c:pt>
                <c:pt idx="66">
                  <c:v>3.9099999999999997</c:v>
                </c:pt>
                <c:pt idx="67">
                  <c:v>3.7800000000000002</c:v>
                </c:pt>
                <c:pt idx="68">
                  <c:v>3.94</c:v>
                </c:pt>
                <c:pt idx="69">
                  <c:v>4.1599999999999984</c:v>
                </c:pt>
                <c:pt idx="70">
                  <c:v>4.0599999999999996</c:v>
                </c:pt>
                <c:pt idx="71">
                  <c:v>3.9299999999999997</c:v>
                </c:pt>
                <c:pt idx="72">
                  <c:v>4.1099999999999985</c:v>
                </c:pt>
                <c:pt idx="73">
                  <c:v>4.0999999999999996</c:v>
                </c:pt>
                <c:pt idx="74">
                  <c:v>4.2300000000000004</c:v>
                </c:pt>
                <c:pt idx="75">
                  <c:v>4.5199999999999996</c:v>
                </c:pt>
                <c:pt idx="76">
                  <c:v>4.45</c:v>
                </c:pt>
                <c:pt idx="77">
                  <c:v>4.63</c:v>
                </c:pt>
                <c:pt idx="78">
                  <c:v>4.38</c:v>
                </c:pt>
                <c:pt idx="79">
                  <c:v>4.1199999999999983</c:v>
                </c:pt>
                <c:pt idx="80">
                  <c:v>3.98</c:v>
                </c:pt>
                <c:pt idx="81">
                  <c:v>4.17</c:v>
                </c:pt>
                <c:pt idx="82">
                  <c:v>3.94</c:v>
                </c:pt>
                <c:pt idx="83">
                  <c:v>4.05</c:v>
                </c:pt>
                <c:pt idx="84">
                  <c:v>4.17</c:v>
                </c:pt>
                <c:pt idx="85">
                  <c:v>4.03</c:v>
                </c:pt>
                <c:pt idx="86">
                  <c:v>4.0999999999999996</c:v>
                </c:pt>
                <c:pt idx="87">
                  <c:v>4.1499999999999995</c:v>
                </c:pt>
                <c:pt idx="88">
                  <c:v>4.4800000000000004</c:v>
                </c:pt>
                <c:pt idx="89">
                  <c:v>4.6199999999999983</c:v>
                </c:pt>
                <c:pt idx="90">
                  <c:v>4.58</c:v>
                </c:pt>
                <c:pt idx="91">
                  <c:v>4.38</c:v>
                </c:pt>
                <c:pt idx="92">
                  <c:v>4.41</c:v>
                </c:pt>
                <c:pt idx="93">
                  <c:v>4.3099999999999996</c:v>
                </c:pt>
                <c:pt idx="94">
                  <c:v>4.07</c:v>
                </c:pt>
                <c:pt idx="95">
                  <c:v>4.09</c:v>
                </c:pt>
                <c:pt idx="96">
                  <c:v>3.88</c:v>
                </c:pt>
                <c:pt idx="97">
                  <c:v>3.8099999999999992</c:v>
                </c:pt>
                <c:pt idx="98">
                  <c:v>3.46</c:v>
                </c:pt>
                <c:pt idx="99">
                  <c:v>3.58</c:v>
                </c:pt>
                <c:pt idx="100">
                  <c:v>3.68</c:v>
                </c:pt>
                <c:pt idx="101">
                  <c:v>3.71</c:v>
                </c:pt>
                <c:pt idx="102">
                  <c:v>3.8099999999999992</c:v>
                </c:pt>
                <c:pt idx="103">
                  <c:v>3.52</c:v>
                </c:pt>
                <c:pt idx="104">
                  <c:v>3.66</c:v>
                </c:pt>
                <c:pt idx="105">
                  <c:v>3.74</c:v>
                </c:pt>
                <c:pt idx="106">
                  <c:v>3.36</c:v>
                </c:pt>
                <c:pt idx="107">
                  <c:v>2.69</c:v>
                </c:pt>
                <c:pt idx="108">
                  <c:v>2.9699999999999998</c:v>
                </c:pt>
                <c:pt idx="109">
                  <c:v>2.9499999999999997</c:v>
                </c:pt>
                <c:pt idx="110">
                  <c:v>2.96</c:v>
                </c:pt>
                <c:pt idx="111">
                  <c:v>3.08</c:v>
                </c:pt>
                <c:pt idx="112">
                  <c:v>3.57</c:v>
                </c:pt>
                <c:pt idx="113">
                  <c:v>3.4499999999999997</c:v>
                </c:pt>
                <c:pt idx="114">
                  <c:v>3.53</c:v>
                </c:pt>
                <c:pt idx="115">
                  <c:v>3.3899999999999997</c:v>
                </c:pt>
                <c:pt idx="116">
                  <c:v>3.3099999999999992</c:v>
                </c:pt>
                <c:pt idx="117">
                  <c:v>3.4499999999999997</c:v>
                </c:pt>
                <c:pt idx="118">
                  <c:v>3.25</c:v>
                </c:pt>
                <c:pt idx="119">
                  <c:v>3.6</c:v>
                </c:pt>
                <c:pt idx="120">
                  <c:v>3.3499999999999992</c:v>
                </c:pt>
                <c:pt idx="121">
                  <c:v>3.4499999999999997</c:v>
                </c:pt>
                <c:pt idx="122">
                  <c:v>3.56</c:v>
                </c:pt>
                <c:pt idx="123">
                  <c:v>3.66</c:v>
                </c:pt>
                <c:pt idx="124">
                  <c:v>3.25</c:v>
                </c:pt>
                <c:pt idx="125">
                  <c:v>3.08</c:v>
                </c:pt>
                <c:pt idx="126">
                  <c:v>3.22</c:v>
                </c:pt>
                <c:pt idx="127">
                  <c:v>2.8299999999999992</c:v>
                </c:pt>
                <c:pt idx="128">
                  <c:v>2.74</c:v>
                </c:pt>
                <c:pt idx="129">
                  <c:v>2.8899999999999997</c:v>
                </c:pt>
                <c:pt idx="130">
                  <c:v>3.19</c:v>
                </c:pt>
                <c:pt idx="131">
                  <c:v>3.16</c:v>
                </c:pt>
                <c:pt idx="132">
                  <c:v>3.3099999999999992</c:v>
                </c:pt>
                <c:pt idx="133">
                  <c:v>3.32</c:v>
                </c:pt>
                <c:pt idx="134">
                  <c:v>3.29</c:v>
                </c:pt>
                <c:pt idx="135">
                  <c:v>3.27</c:v>
                </c:pt>
                <c:pt idx="136">
                  <c:v>3.08</c:v>
                </c:pt>
                <c:pt idx="137">
                  <c:v>3.09</c:v>
                </c:pt>
                <c:pt idx="138">
                  <c:v>2.88</c:v>
                </c:pt>
                <c:pt idx="139">
                  <c:v>2.4899999999999998</c:v>
                </c:pt>
                <c:pt idx="140">
                  <c:v>2.19</c:v>
                </c:pt>
                <c:pt idx="141">
                  <c:v>2.38</c:v>
                </c:pt>
                <c:pt idx="142">
                  <c:v>2.15</c:v>
                </c:pt>
                <c:pt idx="143">
                  <c:v>1.9600000000000002</c:v>
                </c:pt>
                <c:pt idx="144">
                  <c:v>2.04</c:v>
                </c:pt>
                <c:pt idx="145">
                  <c:v>1.9800000000000002</c:v>
                </c:pt>
                <c:pt idx="146">
                  <c:v>2.12</c:v>
                </c:pt>
                <c:pt idx="147">
                  <c:v>2.1</c:v>
                </c:pt>
                <c:pt idx="148">
                  <c:v>1.7900000000000003</c:v>
                </c:pt>
                <c:pt idx="149">
                  <c:v>1.7200000000000002</c:v>
                </c:pt>
                <c:pt idx="150">
                  <c:v>1.6</c:v>
                </c:pt>
                <c:pt idx="151">
                  <c:v>1.8</c:v>
                </c:pt>
                <c:pt idx="152">
                  <c:v>1.7500000000000002</c:v>
                </c:pt>
                <c:pt idx="153">
                  <c:v>1.7800000000000002</c:v>
                </c:pt>
                <c:pt idx="154">
                  <c:v>1.7200000000000002</c:v>
                </c:pt>
                <c:pt idx="155">
                  <c:v>1.82</c:v>
                </c:pt>
                <c:pt idx="156">
                  <c:v>1.9900000000000002</c:v>
                </c:pt>
                <c:pt idx="157">
                  <c:v>1.86</c:v>
                </c:pt>
                <c:pt idx="158">
                  <c:v>1.7600000000000002</c:v>
                </c:pt>
                <c:pt idx="159">
                  <c:v>1.7200000000000002</c:v>
                </c:pt>
                <c:pt idx="160">
                  <c:v>2.0699999999999998</c:v>
                </c:pt>
                <c:pt idx="161">
                  <c:v>2.5</c:v>
                </c:pt>
                <c:pt idx="162">
                  <c:v>2.4499999999999997</c:v>
                </c:pt>
                <c:pt idx="163">
                  <c:v>2.63</c:v>
                </c:pt>
                <c:pt idx="164">
                  <c:v>2.57</c:v>
                </c:pt>
                <c:pt idx="165">
                  <c:v>2.42</c:v>
                </c:pt>
                <c:pt idx="166">
                  <c:v>2.54</c:v>
                </c:pt>
                <c:pt idx="167">
                  <c:v>2.72</c:v>
                </c:pt>
                <c:pt idx="168">
                  <c:v>2.36</c:v>
                </c:pt>
                <c:pt idx="169">
                  <c:v>2.44</c:v>
                </c:pt>
                <c:pt idx="170">
                  <c:v>2.4499999999999997</c:v>
                </c:pt>
                <c:pt idx="171">
                  <c:v>2.4</c:v>
                </c:pt>
                <c:pt idx="172">
                  <c:v>2.2200000000000002</c:v>
                </c:pt>
                <c:pt idx="173">
                  <c:v>2.2599999999999998</c:v>
                </c:pt>
                <c:pt idx="174">
                  <c:v>2.16</c:v>
                </c:pt>
                <c:pt idx="175">
                  <c:v>2</c:v>
                </c:pt>
                <c:pt idx="176">
                  <c:v>2.2000000000000002</c:v>
                </c:pt>
                <c:pt idx="177">
                  <c:v>2.0499999999999998</c:v>
                </c:pt>
                <c:pt idx="178">
                  <c:v>1.9300000000000002</c:v>
                </c:pt>
                <c:pt idx="179">
                  <c:v>1.7900000000000003</c:v>
                </c:pt>
                <c:pt idx="180">
                  <c:v>1.35</c:v>
                </c:pt>
                <c:pt idx="181">
                  <c:v>1.32</c:v>
                </c:pt>
                <c:pt idx="182">
                  <c:v>1.33</c:v>
                </c:pt>
                <c:pt idx="183">
                  <c:v>1.59</c:v>
                </c:pt>
                <c:pt idx="184">
                  <c:v>1.6700000000000004</c:v>
                </c:pt>
                <c:pt idx="185">
                  <c:v>1.7700000000000002</c:v>
                </c:pt>
                <c:pt idx="186">
                  <c:v>1.52</c:v>
                </c:pt>
                <c:pt idx="187">
                  <c:v>1.45</c:v>
                </c:pt>
                <c:pt idx="188">
                  <c:v>1.45</c:v>
                </c:pt>
                <c:pt idx="189">
                  <c:v>1.47</c:v>
                </c:pt>
                <c:pt idx="190">
                  <c:v>1.59</c:v>
                </c:pt>
                <c:pt idx="191">
                  <c:v>1.4</c:v>
                </c:pt>
                <c:pt idx="192">
                  <c:v>1.24</c:v>
                </c:pt>
                <c:pt idx="193">
                  <c:v>1.1499999999999995</c:v>
                </c:pt>
                <c:pt idx="194">
                  <c:v>1.22</c:v>
                </c:pt>
                <c:pt idx="195">
                  <c:v>1.5</c:v>
                </c:pt>
                <c:pt idx="196">
                  <c:v>1.3800000000000001</c:v>
                </c:pt>
                <c:pt idx="197">
                  <c:v>1.1200000000000001</c:v>
                </c:pt>
                <c:pt idx="198">
                  <c:v>1.07</c:v>
                </c:pt>
                <c:pt idx="199">
                  <c:v>1.02</c:v>
                </c:pt>
                <c:pt idx="200">
                  <c:v>0.98</c:v>
                </c:pt>
                <c:pt idx="201">
                  <c:v>1.1499999999999995</c:v>
                </c:pt>
                <c:pt idx="202">
                  <c:v>1.58</c:v>
                </c:pt>
                <c:pt idx="203">
                  <c:v>1.7300000000000002</c:v>
                </c:pt>
                <c:pt idx="204">
                  <c:v>1.82</c:v>
                </c:pt>
                <c:pt idx="205">
                  <c:v>1.7100000000000002</c:v>
                </c:pt>
                <c:pt idx="206">
                  <c:v>1.59</c:v>
                </c:pt>
                <c:pt idx="207">
                  <c:v>1.48</c:v>
                </c:pt>
                <c:pt idx="208">
                  <c:v>1.41</c:v>
                </c:pt>
                <c:pt idx="209">
                  <c:v>1.61</c:v>
                </c:pt>
                <c:pt idx="210">
                  <c:v>1.9600000000000002</c:v>
                </c:pt>
                <c:pt idx="211">
                  <c:v>1.84</c:v>
                </c:pt>
                <c:pt idx="212">
                  <c:v>2.13</c:v>
                </c:pt>
                <c:pt idx="213">
                  <c:v>2.04</c:v>
                </c:pt>
                <c:pt idx="214">
                  <c:v>1.8800000000000001</c:v>
                </c:pt>
                <c:pt idx="215">
                  <c:v>1.9800000000000002</c:v>
                </c:pt>
                <c:pt idx="216">
                  <c:v>2.29</c:v>
                </c:pt>
                <c:pt idx="217">
                  <c:v>2.23</c:v>
                </c:pt>
                <c:pt idx="218">
                  <c:v>2.11</c:v>
                </c:pt>
                <c:pt idx="219">
                  <c:v>2.3699999999999997</c:v>
                </c:pt>
                <c:pt idx="220">
                  <c:v>2.25</c:v>
                </c:pt>
                <c:pt idx="221">
                  <c:v>2.06</c:v>
                </c:pt>
                <c:pt idx="222">
                  <c:v>2.2799999999999998</c:v>
                </c:pt>
                <c:pt idx="223">
                  <c:v>2.319999999999999</c:v>
                </c:pt>
                <c:pt idx="224">
                  <c:v>2.42</c:v>
                </c:pt>
                <c:pt idx="225">
                  <c:v>2.4899999999999998</c:v>
                </c:pt>
                <c:pt idx="226">
                  <c:v>2.3299999999999992</c:v>
                </c:pt>
                <c:pt idx="227">
                  <c:v>1.9800000000000002</c:v>
                </c:pt>
                <c:pt idx="228">
                  <c:v>1.9200000000000002</c:v>
                </c:pt>
                <c:pt idx="229">
                  <c:v>1.9100000000000001</c:v>
                </c:pt>
                <c:pt idx="230">
                  <c:v>1.54</c:v>
                </c:pt>
                <c:pt idx="231">
                  <c:v>1.6700000000000004</c:v>
                </c:pt>
                <c:pt idx="232">
                  <c:v>1.57</c:v>
                </c:pt>
                <c:pt idx="233">
                  <c:v>1.5</c:v>
                </c:pt>
                <c:pt idx="234">
                  <c:v>1.49</c:v>
                </c:pt>
                <c:pt idx="235">
                  <c:v>1.1299999999999994</c:v>
                </c:pt>
                <c:pt idx="236">
                  <c:v>1.3900000000000001</c:v>
                </c:pt>
                <c:pt idx="237">
                  <c:v>1.45</c:v>
                </c:pt>
                <c:pt idx="238">
                  <c:v>1.47</c:v>
                </c:pt>
                <c:pt idx="239">
                  <c:v>1.61</c:v>
                </c:pt>
                <c:pt idx="240">
                  <c:v>1.31</c:v>
                </c:pt>
                <c:pt idx="241">
                  <c:v>1.21</c:v>
                </c:pt>
                <c:pt idx="242">
                  <c:v>0.88000000000000012</c:v>
                </c:pt>
                <c:pt idx="243">
                  <c:v>0.56000000000000005</c:v>
                </c:pt>
                <c:pt idx="244">
                  <c:v>0.54</c:v>
                </c:pt>
                <c:pt idx="245">
                  <c:v>0.54</c:v>
                </c:pt>
                <c:pt idx="246">
                  <c:v>0.48000000000000009</c:v>
                </c:pt>
                <c:pt idx="247">
                  <c:v>0.61000000000000021</c:v>
                </c:pt>
                <c:pt idx="248">
                  <c:v>0.56999999999999995</c:v>
                </c:pt>
                <c:pt idx="249">
                  <c:v>0.59000000000000008</c:v>
                </c:pt>
                <c:pt idx="250">
                  <c:v>0.70000000000000018</c:v>
                </c:pt>
              </c:numCache>
            </c:numRef>
          </c:val>
          <c:smooth val="0"/>
          <c:extLst>
            <c:ext xmlns:c16="http://schemas.microsoft.com/office/drawing/2014/chart" uri="{C3380CC4-5D6E-409C-BE32-E72D297353CC}">
              <c16:uniqueId val="{00000001-9D62-4E66-9069-CF509467E901}"/>
            </c:ext>
          </c:extLst>
        </c:ser>
        <c:ser>
          <c:idx val="2"/>
          <c:order val="1"/>
          <c:tx>
            <c:v>M2++ growth rate</c:v>
          </c:tx>
          <c:spPr>
            <a:ln w="28575" cap="rnd">
              <a:solidFill>
                <a:schemeClr val="accent3"/>
              </a:solidFill>
              <a:round/>
            </a:ln>
            <a:effectLst/>
          </c:spPr>
          <c:marker>
            <c:symbol val="none"/>
          </c:marker>
          <c:cat>
            <c:numRef>
              <c:f>'Problem 1 data'!$B$3:$B$253</c:f>
              <c:numCache>
                <c:formatCode>General</c:formatCode>
                <c:ptCount val="251"/>
                <c:pt idx="0">
                  <c:v>2000</c:v>
                </c:pt>
                <c:pt idx="1">
                  <c:v>2000</c:v>
                </c:pt>
                <c:pt idx="2">
                  <c:v>2000</c:v>
                </c:pt>
                <c:pt idx="3">
                  <c:v>2000</c:v>
                </c:pt>
                <c:pt idx="4">
                  <c:v>2000</c:v>
                </c:pt>
                <c:pt idx="5">
                  <c:v>2000</c:v>
                </c:pt>
                <c:pt idx="6">
                  <c:v>2000</c:v>
                </c:pt>
                <c:pt idx="7">
                  <c:v>2000</c:v>
                </c:pt>
                <c:pt idx="8">
                  <c:v>2000</c:v>
                </c:pt>
                <c:pt idx="9">
                  <c:v>2000</c:v>
                </c:pt>
                <c:pt idx="10">
                  <c:v>2000</c:v>
                </c:pt>
                <c:pt idx="11">
                  <c:v>2000</c:v>
                </c:pt>
                <c:pt idx="12">
                  <c:v>2001</c:v>
                </c:pt>
                <c:pt idx="13">
                  <c:v>2001</c:v>
                </c:pt>
                <c:pt idx="14">
                  <c:v>2001</c:v>
                </c:pt>
                <c:pt idx="15">
                  <c:v>2001</c:v>
                </c:pt>
                <c:pt idx="16">
                  <c:v>2001</c:v>
                </c:pt>
                <c:pt idx="17">
                  <c:v>2001</c:v>
                </c:pt>
                <c:pt idx="18">
                  <c:v>2001</c:v>
                </c:pt>
                <c:pt idx="19">
                  <c:v>2001</c:v>
                </c:pt>
                <c:pt idx="20">
                  <c:v>2001</c:v>
                </c:pt>
                <c:pt idx="21">
                  <c:v>2001</c:v>
                </c:pt>
                <c:pt idx="22">
                  <c:v>2001</c:v>
                </c:pt>
                <c:pt idx="23">
                  <c:v>2001</c:v>
                </c:pt>
                <c:pt idx="24">
                  <c:v>2002</c:v>
                </c:pt>
                <c:pt idx="25">
                  <c:v>2002</c:v>
                </c:pt>
                <c:pt idx="26">
                  <c:v>2002</c:v>
                </c:pt>
                <c:pt idx="27">
                  <c:v>2002</c:v>
                </c:pt>
                <c:pt idx="28">
                  <c:v>2002</c:v>
                </c:pt>
                <c:pt idx="29">
                  <c:v>2002</c:v>
                </c:pt>
                <c:pt idx="30">
                  <c:v>2002</c:v>
                </c:pt>
                <c:pt idx="31">
                  <c:v>2002</c:v>
                </c:pt>
                <c:pt idx="32">
                  <c:v>2002</c:v>
                </c:pt>
                <c:pt idx="33">
                  <c:v>2002</c:v>
                </c:pt>
                <c:pt idx="34">
                  <c:v>2002</c:v>
                </c:pt>
                <c:pt idx="35">
                  <c:v>2002</c:v>
                </c:pt>
                <c:pt idx="36">
                  <c:v>2003</c:v>
                </c:pt>
                <c:pt idx="37">
                  <c:v>2003</c:v>
                </c:pt>
                <c:pt idx="38">
                  <c:v>2003</c:v>
                </c:pt>
                <c:pt idx="39">
                  <c:v>2003</c:v>
                </c:pt>
                <c:pt idx="40">
                  <c:v>2003</c:v>
                </c:pt>
                <c:pt idx="41">
                  <c:v>2003</c:v>
                </c:pt>
                <c:pt idx="42">
                  <c:v>2003</c:v>
                </c:pt>
                <c:pt idx="43">
                  <c:v>2003</c:v>
                </c:pt>
                <c:pt idx="44">
                  <c:v>2003</c:v>
                </c:pt>
                <c:pt idx="45">
                  <c:v>2003</c:v>
                </c:pt>
                <c:pt idx="46">
                  <c:v>2003</c:v>
                </c:pt>
                <c:pt idx="47">
                  <c:v>2003</c:v>
                </c:pt>
                <c:pt idx="48">
                  <c:v>2004</c:v>
                </c:pt>
                <c:pt idx="49">
                  <c:v>2004</c:v>
                </c:pt>
                <c:pt idx="50">
                  <c:v>2004</c:v>
                </c:pt>
                <c:pt idx="51">
                  <c:v>2004</c:v>
                </c:pt>
                <c:pt idx="52">
                  <c:v>2004</c:v>
                </c:pt>
                <c:pt idx="53">
                  <c:v>2004</c:v>
                </c:pt>
                <c:pt idx="54">
                  <c:v>2004</c:v>
                </c:pt>
                <c:pt idx="55">
                  <c:v>2004</c:v>
                </c:pt>
                <c:pt idx="56">
                  <c:v>2004</c:v>
                </c:pt>
                <c:pt idx="57">
                  <c:v>2004</c:v>
                </c:pt>
                <c:pt idx="58">
                  <c:v>2004</c:v>
                </c:pt>
                <c:pt idx="59">
                  <c:v>2004</c:v>
                </c:pt>
                <c:pt idx="60">
                  <c:v>2005</c:v>
                </c:pt>
                <c:pt idx="61">
                  <c:v>2005</c:v>
                </c:pt>
                <c:pt idx="62">
                  <c:v>2005</c:v>
                </c:pt>
                <c:pt idx="63">
                  <c:v>2005</c:v>
                </c:pt>
                <c:pt idx="64">
                  <c:v>2005</c:v>
                </c:pt>
                <c:pt idx="65">
                  <c:v>2005</c:v>
                </c:pt>
                <c:pt idx="66">
                  <c:v>2005</c:v>
                </c:pt>
                <c:pt idx="67">
                  <c:v>2005</c:v>
                </c:pt>
                <c:pt idx="68">
                  <c:v>2005</c:v>
                </c:pt>
                <c:pt idx="69">
                  <c:v>2005</c:v>
                </c:pt>
                <c:pt idx="70">
                  <c:v>2005</c:v>
                </c:pt>
                <c:pt idx="71">
                  <c:v>2005</c:v>
                </c:pt>
                <c:pt idx="72">
                  <c:v>2006</c:v>
                </c:pt>
                <c:pt idx="73">
                  <c:v>2006</c:v>
                </c:pt>
                <c:pt idx="74">
                  <c:v>2006</c:v>
                </c:pt>
                <c:pt idx="75">
                  <c:v>2006</c:v>
                </c:pt>
                <c:pt idx="76">
                  <c:v>2006</c:v>
                </c:pt>
                <c:pt idx="77">
                  <c:v>2006</c:v>
                </c:pt>
                <c:pt idx="78">
                  <c:v>2006</c:v>
                </c:pt>
                <c:pt idx="79">
                  <c:v>2006</c:v>
                </c:pt>
                <c:pt idx="80">
                  <c:v>2006</c:v>
                </c:pt>
                <c:pt idx="81">
                  <c:v>2006</c:v>
                </c:pt>
                <c:pt idx="82">
                  <c:v>2006</c:v>
                </c:pt>
                <c:pt idx="83">
                  <c:v>2006</c:v>
                </c:pt>
                <c:pt idx="84">
                  <c:v>2007</c:v>
                </c:pt>
                <c:pt idx="85">
                  <c:v>2007</c:v>
                </c:pt>
                <c:pt idx="86">
                  <c:v>2007</c:v>
                </c:pt>
                <c:pt idx="87">
                  <c:v>2007</c:v>
                </c:pt>
                <c:pt idx="88">
                  <c:v>2007</c:v>
                </c:pt>
                <c:pt idx="89">
                  <c:v>2007</c:v>
                </c:pt>
                <c:pt idx="90">
                  <c:v>2007</c:v>
                </c:pt>
                <c:pt idx="91">
                  <c:v>2007</c:v>
                </c:pt>
                <c:pt idx="92">
                  <c:v>2007</c:v>
                </c:pt>
                <c:pt idx="93">
                  <c:v>2007</c:v>
                </c:pt>
                <c:pt idx="94">
                  <c:v>2007</c:v>
                </c:pt>
                <c:pt idx="95">
                  <c:v>2007</c:v>
                </c:pt>
                <c:pt idx="96">
                  <c:v>2008</c:v>
                </c:pt>
                <c:pt idx="97">
                  <c:v>2008</c:v>
                </c:pt>
                <c:pt idx="98">
                  <c:v>2008</c:v>
                </c:pt>
                <c:pt idx="99">
                  <c:v>2008</c:v>
                </c:pt>
                <c:pt idx="100">
                  <c:v>2008</c:v>
                </c:pt>
                <c:pt idx="101">
                  <c:v>2008</c:v>
                </c:pt>
                <c:pt idx="102">
                  <c:v>2008</c:v>
                </c:pt>
                <c:pt idx="103">
                  <c:v>2008</c:v>
                </c:pt>
                <c:pt idx="104">
                  <c:v>2008</c:v>
                </c:pt>
                <c:pt idx="105">
                  <c:v>2008</c:v>
                </c:pt>
                <c:pt idx="106">
                  <c:v>2008</c:v>
                </c:pt>
                <c:pt idx="107">
                  <c:v>2008</c:v>
                </c:pt>
                <c:pt idx="108">
                  <c:v>2009</c:v>
                </c:pt>
                <c:pt idx="109">
                  <c:v>2009</c:v>
                </c:pt>
                <c:pt idx="110">
                  <c:v>2009</c:v>
                </c:pt>
                <c:pt idx="111">
                  <c:v>2009</c:v>
                </c:pt>
                <c:pt idx="112">
                  <c:v>2009</c:v>
                </c:pt>
                <c:pt idx="113">
                  <c:v>2009</c:v>
                </c:pt>
                <c:pt idx="114">
                  <c:v>2009</c:v>
                </c:pt>
                <c:pt idx="115">
                  <c:v>2009</c:v>
                </c:pt>
                <c:pt idx="116">
                  <c:v>2009</c:v>
                </c:pt>
                <c:pt idx="117">
                  <c:v>2009</c:v>
                </c:pt>
                <c:pt idx="118">
                  <c:v>2009</c:v>
                </c:pt>
                <c:pt idx="119">
                  <c:v>2009</c:v>
                </c:pt>
                <c:pt idx="120">
                  <c:v>2010</c:v>
                </c:pt>
                <c:pt idx="121">
                  <c:v>2010</c:v>
                </c:pt>
                <c:pt idx="122">
                  <c:v>2010</c:v>
                </c:pt>
                <c:pt idx="123">
                  <c:v>2010</c:v>
                </c:pt>
                <c:pt idx="124">
                  <c:v>2010</c:v>
                </c:pt>
                <c:pt idx="125">
                  <c:v>2010</c:v>
                </c:pt>
                <c:pt idx="126">
                  <c:v>2010</c:v>
                </c:pt>
                <c:pt idx="127">
                  <c:v>2010</c:v>
                </c:pt>
                <c:pt idx="128">
                  <c:v>2010</c:v>
                </c:pt>
                <c:pt idx="129">
                  <c:v>2010</c:v>
                </c:pt>
                <c:pt idx="130">
                  <c:v>2010</c:v>
                </c:pt>
                <c:pt idx="131">
                  <c:v>2010</c:v>
                </c:pt>
                <c:pt idx="132">
                  <c:v>2011</c:v>
                </c:pt>
                <c:pt idx="133">
                  <c:v>2011</c:v>
                </c:pt>
                <c:pt idx="134">
                  <c:v>2011</c:v>
                </c:pt>
                <c:pt idx="135">
                  <c:v>2011</c:v>
                </c:pt>
                <c:pt idx="136">
                  <c:v>2011</c:v>
                </c:pt>
                <c:pt idx="137">
                  <c:v>2011</c:v>
                </c:pt>
                <c:pt idx="138">
                  <c:v>2011</c:v>
                </c:pt>
                <c:pt idx="139">
                  <c:v>2011</c:v>
                </c:pt>
                <c:pt idx="140">
                  <c:v>2011</c:v>
                </c:pt>
                <c:pt idx="141">
                  <c:v>2011</c:v>
                </c:pt>
                <c:pt idx="142">
                  <c:v>2011</c:v>
                </c:pt>
                <c:pt idx="143">
                  <c:v>2011</c:v>
                </c:pt>
                <c:pt idx="144">
                  <c:v>2012</c:v>
                </c:pt>
                <c:pt idx="145">
                  <c:v>2012</c:v>
                </c:pt>
                <c:pt idx="146">
                  <c:v>2012</c:v>
                </c:pt>
                <c:pt idx="147">
                  <c:v>2012</c:v>
                </c:pt>
                <c:pt idx="148">
                  <c:v>2012</c:v>
                </c:pt>
                <c:pt idx="149">
                  <c:v>2012</c:v>
                </c:pt>
                <c:pt idx="150">
                  <c:v>2012</c:v>
                </c:pt>
                <c:pt idx="151">
                  <c:v>2012</c:v>
                </c:pt>
                <c:pt idx="152">
                  <c:v>2012</c:v>
                </c:pt>
                <c:pt idx="153">
                  <c:v>2012</c:v>
                </c:pt>
                <c:pt idx="154">
                  <c:v>2012</c:v>
                </c:pt>
                <c:pt idx="155">
                  <c:v>2012</c:v>
                </c:pt>
                <c:pt idx="156">
                  <c:v>2013</c:v>
                </c:pt>
                <c:pt idx="157">
                  <c:v>2013</c:v>
                </c:pt>
                <c:pt idx="158">
                  <c:v>2013</c:v>
                </c:pt>
                <c:pt idx="159">
                  <c:v>2013</c:v>
                </c:pt>
                <c:pt idx="160">
                  <c:v>2013</c:v>
                </c:pt>
                <c:pt idx="161">
                  <c:v>2013</c:v>
                </c:pt>
                <c:pt idx="162">
                  <c:v>2013</c:v>
                </c:pt>
                <c:pt idx="163">
                  <c:v>2013</c:v>
                </c:pt>
                <c:pt idx="164">
                  <c:v>2013</c:v>
                </c:pt>
                <c:pt idx="165">
                  <c:v>2013</c:v>
                </c:pt>
                <c:pt idx="166">
                  <c:v>2013</c:v>
                </c:pt>
                <c:pt idx="167">
                  <c:v>2013</c:v>
                </c:pt>
                <c:pt idx="168">
                  <c:v>2014</c:v>
                </c:pt>
                <c:pt idx="169">
                  <c:v>2014</c:v>
                </c:pt>
                <c:pt idx="170">
                  <c:v>2014</c:v>
                </c:pt>
                <c:pt idx="171">
                  <c:v>2014</c:v>
                </c:pt>
                <c:pt idx="172">
                  <c:v>2014</c:v>
                </c:pt>
                <c:pt idx="173">
                  <c:v>2014</c:v>
                </c:pt>
                <c:pt idx="174">
                  <c:v>2014</c:v>
                </c:pt>
                <c:pt idx="175">
                  <c:v>2014</c:v>
                </c:pt>
                <c:pt idx="176">
                  <c:v>2014</c:v>
                </c:pt>
                <c:pt idx="177">
                  <c:v>2014</c:v>
                </c:pt>
                <c:pt idx="178">
                  <c:v>2014</c:v>
                </c:pt>
                <c:pt idx="179">
                  <c:v>2014</c:v>
                </c:pt>
                <c:pt idx="180">
                  <c:v>2015</c:v>
                </c:pt>
                <c:pt idx="181">
                  <c:v>2015</c:v>
                </c:pt>
                <c:pt idx="182">
                  <c:v>2015</c:v>
                </c:pt>
                <c:pt idx="183">
                  <c:v>2015</c:v>
                </c:pt>
                <c:pt idx="184">
                  <c:v>2015</c:v>
                </c:pt>
                <c:pt idx="185">
                  <c:v>2015</c:v>
                </c:pt>
                <c:pt idx="186">
                  <c:v>2015</c:v>
                </c:pt>
                <c:pt idx="187">
                  <c:v>2015</c:v>
                </c:pt>
                <c:pt idx="188">
                  <c:v>2015</c:v>
                </c:pt>
                <c:pt idx="189">
                  <c:v>2015</c:v>
                </c:pt>
                <c:pt idx="190">
                  <c:v>2015</c:v>
                </c:pt>
                <c:pt idx="191">
                  <c:v>2015</c:v>
                </c:pt>
                <c:pt idx="192">
                  <c:v>2016</c:v>
                </c:pt>
                <c:pt idx="193">
                  <c:v>2016</c:v>
                </c:pt>
                <c:pt idx="194">
                  <c:v>2016</c:v>
                </c:pt>
                <c:pt idx="195">
                  <c:v>2016</c:v>
                </c:pt>
                <c:pt idx="196">
                  <c:v>2016</c:v>
                </c:pt>
                <c:pt idx="197">
                  <c:v>2016</c:v>
                </c:pt>
                <c:pt idx="198">
                  <c:v>2016</c:v>
                </c:pt>
                <c:pt idx="199">
                  <c:v>2016</c:v>
                </c:pt>
                <c:pt idx="200">
                  <c:v>2016</c:v>
                </c:pt>
                <c:pt idx="201">
                  <c:v>2016</c:v>
                </c:pt>
                <c:pt idx="202">
                  <c:v>2016</c:v>
                </c:pt>
                <c:pt idx="203">
                  <c:v>2016</c:v>
                </c:pt>
                <c:pt idx="204">
                  <c:v>2017</c:v>
                </c:pt>
                <c:pt idx="205">
                  <c:v>2017</c:v>
                </c:pt>
                <c:pt idx="206">
                  <c:v>2017</c:v>
                </c:pt>
                <c:pt idx="207">
                  <c:v>2017</c:v>
                </c:pt>
                <c:pt idx="208">
                  <c:v>2017</c:v>
                </c:pt>
                <c:pt idx="209">
                  <c:v>2017</c:v>
                </c:pt>
                <c:pt idx="210">
                  <c:v>2017</c:v>
                </c:pt>
                <c:pt idx="211">
                  <c:v>2017</c:v>
                </c:pt>
                <c:pt idx="212">
                  <c:v>2017</c:v>
                </c:pt>
                <c:pt idx="213">
                  <c:v>2017</c:v>
                </c:pt>
                <c:pt idx="214">
                  <c:v>2017</c:v>
                </c:pt>
                <c:pt idx="215">
                  <c:v>2017</c:v>
                </c:pt>
                <c:pt idx="216">
                  <c:v>2018</c:v>
                </c:pt>
                <c:pt idx="217">
                  <c:v>2018</c:v>
                </c:pt>
                <c:pt idx="218">
                  <c:v>2018</c:v>
                </c:pt>
                <c:pt idx="219">
                  <c:v>2018</c:v>
                </c:pt>
                <c:pt idx="220">
                  <c:v>2018</c:v>
                </c:pt>
                <c:pt idx="221">
                  <c:v>2018</c:v>
                </c:pt>
                <c:pt idx="222">
                  <c:v>2018</c:v>
                </c:pt>
                <c:pt idx="223">
                  <c:v>2018</c:v>
                </c:pt>
                <c:pt idx="224">
                  <c:v>2018</c:v>
                </c:pt>
                <c:pt idx="225">
                  <c:v>2018</c:v>
                </c:pt>
                <c:pt idx="226">
                  <c:v>2018</c:v>
                </c:pt>
                <c:pt idx="227">
                  <c:v>2018</c:v>
                </c:pt>
                <c:pt idx="228">
                  <c:v>2019</c:v>
                </c:pt>
                <c:pt idx="229">
                  <c:v>2019</c:v>
                </c:pt>
                <c:pt idx="230">
                  <c:v>2019</c:v>
                </c:pt>
                <c:pt idx="231">
                  <c:v>2019</c:v>
                </c:pt>
                <c:pt idx="232">
                  <c:v>2019</c:v>
                </c:pt>
                <c:pt idx="233">
                  <c:v>2019</c:v>
                </c:pt>
                <c:pt idx="234">
                  <c:v>2019</c:v>
                </c:pt>
                <c:pt idx="235">
                  <c:v>2019</c:v>
                </c:pt>
                <c:pt idx="236">
                  <c:v>2019</c:v>
                </c:pt>
                <c:pt idx="237">
                  <c:v>2019</c:v>
                </c:pt>
                <c:pt idx="238">
                  <c:v>2019</c:v>
                </c:pt>
                <c:pt idx="239">
                  <c:v>2019</c:v>
                </c:pt>
                <c:pt idx="240">
                  <c:v>2020</c:v>
                </c:pt>
                <c:pt idx="241">
                  <c:v>2020</c:v>
                </c:pt>
                <c:pt idx="242">
                  <c:v>2020</c:v>
                </c:pt>
                <c:pt idx="243">
                  <c:v>2020</c:v>
                </c:pt>
                <c:pt idx="244">
                  <c:v>2020</c:v>
                </c:pt>
                <c:pt idx="245">
                  <c:v>2020</c:v>
                </c:pt>
                <c:pt idx="246">
                  <c:v>2020</c:v>
                </c:pt>
                <c:pt idx="247">
                  <c:v>2020</c:v>
                </c:pt>
                <c:pt idx="248">
                  <c:v>2020</c:v>
                </c:pt>
                <c:pt idx="249">
                  <c:v>2020</c:v>
                </c:pt>
                <c:pt idx="250">
                  <c:v>2020</c:v>
                </c:pt>
              </c:numCache>
            </c:numRef>
          </c:cat>
          <c:val>
            <c:numRef>
              <c:f>'Problem 1 data'!$F$3:$F$253</c:f>
              <c:numCache>
                <c:formatCode>General</c:formatCode>
                <c:ptCount val="251"/>
                <c:pt idx="12">
                  <c:v>7.7672794106360179</c:v>
                </c:pt>
                <c:pt idx="13">
                  <c:v>7.87789366573391</c:v>
                </c:pt>
                <c:pt idx="14">
                  <c:v>7.6355665701100683</c:v>
                </c:pt>
                <c:pt idx="15">
                  <c:v>7.1179497427186895</c:v>
                </c:pt>
                <c:pt idx="16">
                  <c:v>7.4495314165064865</c:v>
                </c:pt>
                <c:pt idx="17">
                  <c:v>6.9141352132757694</c:v>
                </c:pt>
                <c:pt idx="18">
                  <c:v>6.9056856450755264</c:v>
                </c:pt>
                <c:pt idx="19">
                  <c:v>6.8287331779270879</c:v>
                </c:pt>
                <c:pt idx="20">
                  <c:v>7.3191638580974443</c:v>
                </c:pt>
                <c:pt idx="21">
                  <c:v>7.5792085445399682</c:v>
                </c:pt>
                <c:pt idx="22">
                  <c:v>7.9840280858779744</c:v>
                </c:pt>
                <c:pt idx="23">
                  <c:v>7.6893675167939151</c:v>
                </c:pt>
                <c:pt idx="24">
                  <c:v>7.6270784073535953</c:v>
                </c:pt>
                <c:pt idx="25">
                  <c:v>7.3771187639718159</c:v>
                </c:pt>
                <c:pt idx="26">
                  <c:v>7.0938129361622391</c:v>
                </c:pt>
                <c:pt idx="27">
                  <c:v>6.9182624593084538</c:v>
                </c:pt>
                <c:pt idx="28">
                  <c:v>6.4139995736358664</c:v>
                </c:pt>
                <c:pt idx="29">
                  <c:v>6.7355689532223879</c:v>
                </c:pt>
                <c:pt idx="30">
                  <c:v>6.5268451739478843</c:v>
                </c:pt>
                <c:pt idx="31">
                  <c:v>6.4619051984963782</c:v>
                </c:pt>
                <c:pt idx="32">
                  <c:v>5.7780278826604725</c:v>
                </c:pt>
                <c:pt idx="33">
                  <c:v>5.5100588304188385</c:v>
                </c:pt>
                <c:pt idx="34">
                  <c:v>4.8392282958199395</c:v>
                </c:pt>
                <c:pt idx="35">
                  <c:v>4.0994516317947083</c:v>
                </c:pt>
                <c:pt idx="36">
                  <c:v>3.7012202115739239</c:v>
                </c:pt>
                <c:pt idx="37">
                  <c:v>3.435583899927968</c:v>
                </c:pt>
                <c:pt idx="38">
                  <c:v>3.1287173745714094</c:v>
                </c:pt>
                <c:pt idx="39">
                  <c:v>2.8859072112784192</c:v>
                </c:pt>
                <c:pt idx="40">
                  <c:v>3.0354763128326181</c:v>
                </c:pt>
                <c:pt idx="41">
                  <c:v>3.1227223822580084</c:v>
                </c:pt>
                <c:pt idx="42">
                  <c:v>3.3782089526428187</c:v>
                </c:pt>
                <c:pt idx="43">
                  <c:v>3.4671627137911436</c:v>
                </c:pt>
                <c:pt idx="44">
                  <c:v>3.4914451442398424</c:v>
                </c:pt>
                <c:pt idx="45">
                  <c:v>3.2242364212341932</c:v>
                </c:pt>
                <c:pt idx="46">
                  <c:v>3.4989521034606135</c:v>
                </c:pt>
                <c:pt idx="47">
                  <c:v>3.8638572086124898</c:v>
                </c:pt>
                <c:pt idx="48">
                  <c:v>4.158725837190306</c:v>
                </c:pt>
                <c:pt idx="49">
                  <c:v>4.4934564200120599</c:v>
                </c:pt>
                <c:pt idx="50">
                  <c:v>4.8954666892837464</c:v>
                </c:pt>
                <c:pt idx="51">
                  <c:v>5.3589295707768745</c:v>
                </c:pt>
                <c:pt idx="52">
                  <c:v>5.6029891625948895</c:v>
                </c:pt>
                <c:pt idx="53">
                  <c:v>5.7256564942659294</c:v>
                </c:pt>
                <c:pt idx="54">
                  <c:v>5.3763800602208098</c:v>
                </c:pt>
                <c:pt idx="55">
                  <c:v>5.2337195365561326</c:v>
                </c:pt>
                <c:pt idx="56">
                  <c:v>5.0484615831060182</c:v>
                </c:pt>
                <c:pt idx="57">
                  <c:v>5.236208422602556</c:v>
                </c:pt>
                <c:pt idx="58">
                  <c:v>5.1068033090505001</c:v>
                </c:pt>
                <c:pt idx="59">
                  <c:v>5.3319217733133106</c:v>
                </c:pt>
                <c:pt idx="60">
                  <c:v>5.4417434489969301</c:v>
                </c:pt>
                <c:pt idx="61">
                  <c:v>5.4730169050715229</c:v>
                </c:pt>
                <c:pt idx="62">
                  <c:v>5.3930803625573045</c:v>
                </c:pt>
                <c:pt idx="63">
                  <c:v>5.3664268353533888</c:v>
                </c:pt>
                <c:pt idx="64">
                  <c:v>5.2985062679111765</c:v>
                </c:pt>
                <c:pt idx="65">
                  <c:v>5.2070732794295518</c:v>
                </c:pt>
                <c:pt idx="66">
                  <c:v>5.1552528812267822</c:v>
                </c:pt>
                <c:pt idx="67">
                  <c:v>5.2921728676284445</c:v>
                </c:pt>
                <c:pt idx="68">
                  <c:v>5.7711128650355166</c:v>
                </c:pt>
                <c:pt idx="69">
                  <c:v>6.0753503800532958</c:v>
                </c:pt>
                <c:pt idx="70">
                  <c:v>6.1751599589627908</c:v>
                </c:pt>
                <c:pt idx="71">
                  <c:v>6.3070713996322496</c:v>
                </c:pt>
                <c:pt idx="72">
                  <c:v>6.3291139240506329</c:v>
                </c:pt>
                <c:pt idx="73">
                  <c:v>6.5313545086072695</c:v>
                </c:pt>
                <c:pt idx="74">
                  <c:v>6.7174541799964675</c:v>
                </c:pt>
                <c:pt idx="75">
                  <c:v>6.8422419455859211</c:v>
                </c:pt>
                <c:pt idx="76">
                  <c:v>6.7074144183182396</c:v>
                </c:pt>
                <c:pt idx="77">
                  <c:v>6.7451342294571042</c:v>
                </c:pt>
                <c:pt idx="78">
                  <c:v>7.2122460994995583</c:v>
                </c:pt>
                <c:pt idx="79">
                  <c:v>7.4562622537052219</c:v>
                </c:pt>
                <c:pt idx="80">
                  <c:v>7.5560397576336467</c:v>
                </c:pt>
                <c:pt idx="81">
                  <c:v>7.6355336870498274</c:v>
                </c:pt>
                <c:pt idx="82">
                  <c:v>8.013335890362459</c:v>
                </c:pt>
                <c:pt idx="83">
                  <c:v>8.1785067757231964</c:v>
                </c:pt>
                <c:pt idx="84">
                  <c:v>8.5198461269452732</c:v>
                </c:pt>
                <c:pt idx="85">
                  <c:v>8.4810126582278524</c:v>
                </c:pt>
                <c:pt idx="86">
                  <c:v>8.7589771608088913</c:v>
                </c:pt>
                <c:pt idx="87">
                  <c:v>8.8268515870746356</c:v>
                </c:pt>
                <c:pt idx="88">
                  <c:v>8.883331908466559</c:v>
                </c:pt>
                <c:pt idx="89">
                  <c:v>9.1222823776184168</c:v>
                </c:pt>
                <c:pt idx="90">
                  <c:v>9.3918528844393752</c:v>
                </c:pt>
                <c:pt idx="91">
                  <c:v>9.3059021733811527</c:v>
                </c:pt>
                <c:pt idx="92">
                  <c:v>9.0794932634003551</c:v>
                </c:pt>
                <c:pt idx="93">
                  <c:v>8.5072838928207535</c:v>
                </c:pt>
                <c:pt idx="94">
                  <c:v>8.310001502342292</c:v>
                </c:pt>
                <c:pt idx="95">
                  <c:v>8.5425671738865336</c:v>
                </c:pt>
                <c:pt idx="96">
                  <c:v>8.8794897616649973</c:v>
                </c:pt>
                <c:pt idx="97">
                  <c:v>8.7827971328554728</c:v>
                </c:pt>
                <c:pt idx="98">
                  <c:v>8.7628150468976198</c:v>
                </c:pt>
                <c:pt idx="99">
                  <c:v>8.7632285993943224</c:v>
                </c:pt>
                <c:pt idx="100">
                  <c:v>9.0131058083005637</c:v>
                </c:pt>
                <c:pt idx="101">
                  <c:v>8.8882972160349158</c:v>
                </c:pt>
                <c:pt idx="102">
                  <c:v>8.4921932319890878</c:v>
                </c:pt>
                <c:pt idx="103">
                  <c:v>8.5321787402229425</c:v>
                </c:pt>
                <c:pt idx="104">
                  <c:v>8.6761011289553185</c:v>
                </c:pt>
                <c:pt idx="105">
                  <c:v>9.1301892658414197</c:v>
                </c:pt>
                <c:pt idx="106">
                  <c:v>9.5922626365797221</c:v>
                </c:pt>
                <c:pt idx="107">
                  <c:v>9.4787498985712624</c:v>
                </c:pt>
                <c:pt idx="108">
                  <c:v>9.2196132596685096</c:v>
                </c:pt>
                <c:pt idx="109">
                  <c:v>9.2113247562014582</c:v>
                </c:pt>
                <c:pt idx="110">
                  <c:v>9.1337271489692711</c:v>
                </c:pt>
                <c:pt idx="111">
                  <c:v>9.071856106591289</c:v>
                </c:pt>
                <c:pt idx="112">
                  <c:v>8.8261067895899412</c:v>
                </c:pt>
                <c:pt idx="113">
                  <c:v>8.5599608769293223</c:v>
                </c:pt>
                <c:pt idx="114">
                  <c:v>8.6449194117681927</c:v>
                </c:pt>
                <c:pt idx="115">
                  <c:v>8.6103876206526699</c:v>
                </c:pt>
                <c:pt idx="116">
                  <c:v>8.2965598773307736</c:v>
                </c:pt>
                <c:pt idx="117">
                  <c:v>8.0233024610608155</c:v>
                </c:pt>
                <c:pt idx="118">
                  <c:v>7.4237290085777898</c:v>
                </c:pt>
                <c:pt idx="119">
                  <c:v>6.605016049305287</c:v>
                </c:pt>
                <c:pt idx="120">
                  <c:v>5.7794363398220492</c:v>
                </c:pt>
                <c:pt idx="121">
                  <c:v>5.69889153921706</c:v>
                </c:pt>
                <c:pt idx="122">
                  <c:v>5.1705991435238063</c:v>
                </c:pt>
                <c:pt idx="123">
                  <c:v>4.8242675275628901</c:v>
                </c:pt>
                <c:pt idx="124">
                  <c:v>4.9869562579627473</c:v>
                </c:pt>
                <c:pt idx="125">
                  <c:v>4.9656922798015701</c:v>
                </c:pt>
                <c:pt idx="126">
                  <c:v>4.7721489958830698</c:v>
                </c:pt>
                <c:pt idx="127">
                  <c:v>4.5134932777759671</c:v>
                </c:pt>
                <c:pt idx="128">
                  <c:v>4.6346234908831532</c:v>
                </c:pt>
                <c:pt idx="129">
                  <c:v>4.6426514674460018</c:v>
                </c:pt>
                <c:pt idx="130">
                  <c:v>4.4113000401660196</c:v>
                </c:pt>
                <c:pt idx="131">
                  <c:v>4.6378795819918492</c:v>
                </c:pt>
                <c:pt idx="132">
                  <c:v>4.8717743441944874</c:v>
                </c:pt>
                <c:pt idx="133">
                  <c:v>4.8112611440617243</c:v>
                </c:pt>
                <c:pt idx="134">
                  <c:v>5.0974806468351845</c:v>
                </c:pt>
                <c:pt idx="135">
                  <c:v>5.1669580927527354</c:v>
                </c:pt>
                <c:pt idx="136">
                  <c:v>4.9591552625357869</c:v>
                </c:pt>
                <c:pt idx="137">
                  <c:v>5.1185965206104607</c:v>
                </c:pt>
                <c:pt idx="138">
                  <c:v>5.0806207852579153</c:v>
                </c:pt>
                <c:pt idx="139">
                  <c:v>5.2529940352899018</c:v>
                </c:pt>
                <c:pt idx="140">
                  <c:v>5.7742565257362415</c:v>
                </c:pt>
                <c:pt idx="141">
                  <c:v>6.0635206377780619</c:v>
                </c:pt>
                <c:pt idx="142">
                  <c:v>6.2519875668078875</c:v>
                </c:pt>
                <c:pt idx="143">
                  <c:v>6.2983634374968069</c:v>
                </c:pt>
                <c:pt idx="144">
                  <c:v>6.4389062205778327</c:v>
                </c:pt>
                <c:pt idx="145">
                  <c:v>6.2105476467906175</c:v>
                </c:pt>
                <c:pt idx="146">
                  <c:v>6.0150641106380816</c:v>
                </c:pt>
                <c:pt idx="147">
                  <c:v>6.2050431987140886</c:v>
                </c:pt>
                <c:pt idx="148">
                  <c:v>6.4606221376911348</c:v>
                </c:pt>
                <c:pt idx="149">
                  <c:v>6.6876443877957445</c:v>
                </c:pt>
                <c:pt idx="150">
                  <c:v>6.9308403798943665</c:v>
                </c:pt>
                <c:pt idx="151">
                  <c:v>6.9962318497474749</c:v>
                </c:pt>
                <c:pt idx="152">
                  <c:v>6.2456664615865405</c:v>
                </c:pt>
                <c:pt idx="153">
                  <c:v>6.2745497395909107</c:v>
                </c:pt>
                <c:pt idx="154">
                  <c:v>6.4450569874149783</c:v>
                </c:pt>
                <c:pt idx="155">
                  <c:v>6.4425393192516482</c:v>
                </c:pt>
                <c:pt idx="156">
                  <c:v>6.4218604317578727</c:v>
                </c:pt>
                <c:pt idx="157">
                  <c:v>6.9854852634641711</c:v>
                </c:pt>
                <c:pt idx="158">
                  <c:v>7.3874653081397543</c:v>
                </c:pt>
                <c:pt idx="159">
                  <c:v>7.2964012240284157</c:v>
                </c:pt>
                <c:pt idx="160">
                  <c:v>6.8884783007291874</c:v>
                </c:pt>
                <c:pt idx="161">
                  <c:v>6.6455105469479134</c:v>
                </c:pt>
                <c:pt idx="162">
                  <c:v>6.4644497008487543</c:v>
                </c:pt>
                <c:pt idx="163">
                  <c:v>6.5018876448001031</c:v>
                </c:pt>
                <c:pt idx="164">
                  <c:v>6.646016112946886</c:v>
                </c:pt>
                <c:pt idx="165">
                  <c:v>6.412871372967742</c:v>
                </c:pt>
                <c:pt idx="166">
                  <c:v>6.4829343951528804</c:v>
                </c:pt>
                <c:pt idx="167">
                  <c:v>6.7157234749927746</c:v>
                </c:pt>
                <c:pt idx="168">
                  <c:v>6.8327223060887068</c:v>
                </c:pt>
                <c:pt idx="169">
                  <c:v>6.3670896234406626</c:v>
                </c:pt>
                <c:pt idx="170">
                  <c:v>6.1906721718465807</c:v>
                </c:pt>
                <c:pt idx="171">
                  <c:v>6.2002997443357133</c:v>
                </c:pt>
                <c:pt idx="172">
                  <c:v>6.5545072683688472</c:v>
                </c:pt>
                <c:pt idx="173">
                  <c:v>6.5661648870995952</c:v>
                </c:pt>
                <c:pt idx="174">
                  <c:v>6.6792130621917876</c:v>
                </c:pt>
                <c:pt idx="175">
                  <c:v>6.8035249002345886</c:v>
                </c:pt>
                <c:pt idx="176">
                  <c:v>7.1359620771385464</c:v>
                </c:pt>
                <c:pt idx="177">
                  <c:v>7.2296286132062928</c:v>
                </c:pt>
                <c:pt idx="178">
                  <c:v>6.9034101798574916</c:v>
                </c:pt>
                <c:pt idx="179">
                  <c:v>6.9767146539791671</c:v>
                </c:pt>
                <c:pt idx="180">
                  <c:v>6.9680886855297262</c:v>
                </c:pt>
                <c:pt idx="181">
                  <c:v>7.2513884522686807</c:v>
                </c:pt>
                <c:pt idx="182">
                  <c:v>7.2800240042007367</c:v>
                </c:pt>
                <c:pt idx="183">
                  <c:v>7.4064235491395713</c:v>
                </c:pt>
                <c:pt idx="184">
                  <c:v>7.2319891685276394</c:v>
                </c:pt>
                <c:pt idx="185">
                  <c:v>7.3257365773534504</c:v>
                </c:pt>
                <c:pt idx="186">
                  <c:v>7.7188827180659887</c:v>
                </c:pt>
                <c:pt idx="187">
                  <c:v>7.6823322972430805</c:v>
                </c:pt>
                <c:pt idx="188">
                  <c:v>7.6031036688132767</c:v>
                </c:pt>
                <c:pt idx="189">
                  <c:v>7.3596276197978954</c:v>
                </c:pt>
                <c:pt idx="190">
                  <c:v>7.6173477924830504</c:v>
                </c:pt>
                <c:pt idx="191">
                  <c:v>7.5394203185280464</c:v>
                </c:pt>
                <c:pt idx="192">
                  <c:v>7.7659787775257207</c:v>
                </c:pt>
                <c:pt idx="193">
                  <c:v>7.6842208109428425</c:v>
                </c:pt>
                <c:pt idx="194">
                  <c:v>7.4603674051284461</c:v>
                </c:pt>
                <c:pt idx="195">
                  <c:v>7.4258994473857074</c:v>
                </c:pt>
                <c:pt idx="196">
                  <c:v>7.5807327053588303</c:v>
                </c:pt>
                <c:pt idx="197">
                  <c:v>7.6295601935989898</c:v>
                </c:pt>
                <c:pt idx="198">
                  <c:v>7.7389662675997606</c:v>
                </c:pt>
                <c:pt idx="199">
                  <c:v>7.6505919809723091</c:v>
                </c:pt>
                <c:pt idx="200">
                  <c:v>7.6823009147287395</c:v>
                </c:pt>
                <c:pt idx="201">
                  <c:v>8.0317799687861999</c:v>
                </c:pt>
                <c:pt idx="202">
                  <c:v>8.0351391572821598</c:v>
                </c:pt>
                <c:pt idx="203">
                  <c:v>7.7239227460546989</c:v>
                </c:pt>
                <c:pt idx="204">
                  <c:v>7.8498828920198775</c:v>
                </c:pt>
                <c:pt idx="205">
                  <c:v>7.4382024918613512</c:v>
                </c:pt>
                <c:pt idx="206">
                  <c:v>7.6524046386535156</c:v>
                </c:pt>
                <c:pt idx="207">
                  <c:v>7.8270128711517808</c:v>
                </c:pt>
                <c:pt idx="208">
                  <c:v>8.0391455254589044</c:v>
                </c:pt>
                <c:pt idx="209">
                  <c:v>7.8555025488258314</c:v>
                </c:pt>
                <c:pt idx="210">
                  <c:v>7.1278272741347486</c:v>
                </c:pt>
                <c:pt idx="211">
                  <c:v>6.7037934325477995</c:v>
                </c:pt>
                <c:pt idx="212">
                  <c:v>6.4458345772784993</c:v>
                </c:pt>
                <c:pt idx="213">
                  <c:v>6.2520256245819459</c:v>
                </c:pt>
                <c:pt idx="214">
                  <c:v>6.0267757709085057</c:v>
                </c:pt>
                <c:pt idx="215">
                  <c:v>6.2731623009109514</c:v>
                </c:pt>
                <c:pt idx="216">
                  <c:v>5.8036756274038224</c:v>
                </c:pt>
                <c:pt idx="217">
                  <c:v>5.9993514214679493</c:v>
                </c:pt>
                <c:pt idx="218">
                  <c:v>5.832082498043996</c:v>
                </c:pt>
                <c:pt idx="219">
                  <c:v>5.4022766093733336</c:v>
                </c:pt>
                <c:pt idx="220">
                  <c:v>4.8914177460861019</c:v>
                </c:pt>
                <c:pt idx="221">
                  <c:v>4.9228091917047916</c:v>
                </c:pt>
                <c:pt idx="222">
                  <c:v>4.9403356183056166</c:v>
                </c:pt>
                <c:pt idx="223">
                  <c:v>5.2211006378942608</c:v>
                </c:pt>
                <c:pt idx="224">
                  <c:v>5.2030134037765405</c:v>
                </c:pt>
                <c:pt idx="225">
                  <c:v>5.0923687481138495</c:v>
                </c:pt>
                <c:pt idx="226">
                  <c:v>5.079843189978642</c:v>
                </c:pt>
                <c:pt idx="227">
                  <c:v>5.057579137164657</c:v>
                </c:pt>
                <c:pt idx="228">
                  <c:v>5.0757721081910629</c:v>
                </c:pt>
                <c:pt idx="229">
                  <c:v>5.0982816642871711</c:v>
                </c:pt>
                <c:pt idx="230">
                  <c:v>5.1953079141666851</c:v>
                </c:pt>
                <c:pt idx="231">
                  <c:v>5.5748456179554768</c:v>
                </c:pt>
                <c:pt idx="232">
                  <c:v>5.8394852007855844</c:v>
                </c:pt>
                <c:pt idx="233">
                  <c:v>5.7627065401771675</c:v>
                </c:pt>
                <c:pt idx="234">
                  <c:v>6.0310991755713754</c:v>
                </c:pt>
                <c:pt idx="235">
                  <c:v>6.1701524789901576</c:v>
                </c:pt>
                <c:pt idx="236">
                  <c:v>6.2864246211839401</c:v>
                </c:pt>
                <c:pt idx="237">
                  <c:v>6.5167047489656005</c:v>
                </c:pt>
                <c:pt idx="238">
                  <c:v>6.5630795633840506</c:v>
                </c:pt>
                <c:pt idx="239">
                  <c:v>6.5309768625735378</c:v>
                </c:pt>
                <c:pt idx="240">
                  <c:v>6.5186699771189325</c:v>
                </c:pt>
                <c:pt idx="241">
                  <c:v>6.7400466963825485</c:v>
                </c:pt>
                <c:pt idx="242">
                  <c:v>7.3721960650654665</c:v>
                </c:pt>
                <c:pt idx="243">
                  <c:v>8.7141358117223806</c:v>
                </c:pt>
                <c:pt idx="244">
                  <c:v>10.001193317422434</c:v>
                </c:pt>
                <c:pt idx="245">
                  <c:v>11.203647326135705</c:v>
                </c:pt>
                <c:pt idx="246">
                  <c:v>11.634977845868645</c:v>
                </c:pt>
                <c:pt idx="247">
                  <c:v>12.170393723880048</c:v>
                </c:pt>
                <c:pt idx="248">
                  <c:v>12.52103609896665</c:v>
                </c:pt>
                <c:pt idx="249">
                  <c:v>12.814053599640546</c:v>
                </c:pt>
                <c:pt idx="250">
                  <c:v>13.154446484027757</c:v>
                </c:pt>
              </c:numCache>
            </c:numRef>
          </c:val>
          <c:smooth val="0"/>
          <c:extLst>
            <c:ext xmlns:c16="http://schemas.microsoft.com/office/drawing/2014/chart" uri="{C3380CC4-5D6E-409C-BE32-E72D297353CC}">
              <c16:uniqueId val="{00000002-9D62-4E66-9069-CF509467E901}"/>
            </c:ext>
          </c:extLst>
        </c:ser>
        <c:dLbls>
          <c:showLegendKey val="0"/>
          <c:showVal val="0"/>
          <c:showCatName val="0"/>
          <c:showSerName val="0"/>
          <c:showPercent val="0"/>
          <c:showBubbleSize val="0"/>
        </c:dLbls>
        <c:marker val="1"/>
        <c:smooth val="0"/>
        <c:axId val="117298304"/>
        <c:axId val="117299840"/>
      </c:lineChart>
      <c:catAx>
        <c:axId val="117298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299840"/>
        <c:crosses val="autoZero"/>
        <c:auto val="1"/>
        <c:lblAlgn val="ctr"/>
        <c:lblOffset val="48"/>
        <c:tickLblSkip val="48"/>
        <c:tickMarkSkip val="48"/>
        <c:noMultiLvlLbl val="0"/>
      </c:catAx>
      <c:valAx>
        <c:axId val="117299840"/>
        <c:scaling>
          <c:orientation val="minMax"/>
          <c:max val="14"/>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298304"/>
        <c:crossesAt val="1"/>
        <c:crossBetween val="between"/>
      </c:valAx>
      <c:spPr>
        <a:noFill/>
        <a:ln>
          <a:noFill/>
        </a:ln>
        <a:effectLst/>
      </c:spPr>
    </c:plotArea>
    <c:legend>
      <c:legendPos val="b"/>
      <c:layout>
        <c:manualLayout>
          <c:xMode val="edge"/>
          <c:yMode val="edge"/>
          <c:x val="0.3245112999485969"/>
          <c:y val="0.20300438331267576"/>
          <c:w val="0.40438694929535113"/>
          <c:h val="3.405986993889172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3B6CC1B-F2F5-F843-BCFA-AF822A8B9E0B}">
  <we:reference id="wa104380773" version="1.0.0.2" store="en-US" storeType="OMEX"/>
  <we:alternateReferences>
    <we:reference id="wa104380773" version="1.0.0.2"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B288A-CE62-AF4F-9F49-195CD05F3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2506</Words>
  <Characters>11406</Characters>
  <Application>Microsoft Office Word</Application>
  <DocSecurity>0</DocSecurity>
  <Lines>278</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stuckey</dc:creator>
  <cp:keywords/>
  <dc:description/>
  <cp:lastModifiedBy>Balwant Rawat</cp:lastModifiedBy>
  <cp:revision>12</cp:revision>
  <dcterms:created xsi:type="dcterms:W3CDTF">2022-02-22T05:56:00Z</dcterms:created>
  <dcterms:modified xsi:type="dcterms:W3CDTF">2022-03-03T07:04:00Z</dcterms:modified>
</cp:coreProperties>
</file>