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49E29" w14:textId="77777777" w:rsidR="00000000" w:rsidRPr="003516ED" w:rsidRDefault="000B70A6">
      <w:pPr>
        <w:pStyle w:val="NormalText"/>
        <w:rPr>
          <w:b/>
          <w:bCs/>
        </w:rPr>
      </w:pPr>
      <w:r w:rsidRPr="003516ED">
        <w:rPr>
          <w:b/>
          <w:bCs/>
          <w:i/>
          <w:iCs/>
        </w:rPr>
        <w:t>Pearson's Federal Taxation 2023: Corporations, 36e</w:t>
      </w:r>
      <w:r w:rsidRPr="003516ED">
        <w:rPr>
          <w:b/>
          <w:bCs/>
        </w:rPr>
        <w:t xml:space="preserve"> (Anderson et al.)</w:t>
      </w:r>
    </w:p>
    <w:p w14:paraId="38346C61" w14:textId="77777777" w:rsidR="00000000" w:rsidRPr="003516ED" w:rsidRDefault="000B70A6">
      <w:pPr>
        <w:pStyle w:val="NormalText"/>
        <w:rPr>
          <w:b/>
          <w:bCs/>
        </w:rPr>
      </w:pPr>
      <w:r w:rsidRPr="003516ED">
        <w:rPr>
          <w:b/>
          <w:bCs/>
        </w:rPr>
        <w:t xml:space="preserve">Chapter C1:  Tax Research </w:t>
      </w:r>
    </w:p>
    <w:p w14:paraId="4E2E84C7" w14:textId="77777777" w:rsidR="00000000" w:rsidRPr="003516ED" w:rsidRDefault="000B70A6">
      <w:pPr>
        <w:pStyle w:val="NormalText"/>
        <w:rPr>
          <w:b/>
          <w:bCs/>
        </w:rPr>
      </w:pPr>
    </w:p>
    <w:p w14:paraId="69A8A154" w14:textId="77777777" w:rsidR="00000000" w:rsidRPr="003516ED" w:rsidRDefault="000B70A6">
      <w:pPr>
        <w:pStyle w:val="NormalText"/>
      </w:pPr>
      <w:r w:rsidRPr="003516ED">
        <w:t>LO1:  Overview of Tax Research</w:t>
      </w:r>
    </w:p>
    <w:p w14:paraId="054207F5" w14:textId="77777777" w:rsidR="00000000" w:rsidRPr="0025534A" w:rsidRDefault="000B70A6">
      <w:pPr>
        <w:pStyle w:val="NormalText"/>
        <w:rPr>
          <w:rFonts w:ascii="Palatino Linotype" w:hAnsi="Palatino Linotype"/>
          <w:sz w:val="20"/>
          <w:szCs w:val="20"/>
        </w:rPr>
      </w:pPr>
    </w:p>
    <w:p w14:paraId="5137FFD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 Tax planning is not an integral part of open-fact situations.</w:t>
      </w:r>
    </w:p>
    <w:p w14:paraId="6C5DEF8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FALSE</w:t>
      </w:r>
    </w:p>
    <w:p w14:paraId="6ABA2E5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It is integral.</w:t>
      </w:r>
    </w:p>
    <w:p w14:paraId="03915B1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w:t>
      </w:r>
    </w:p>
    <w:p w14:paraId="7A5F2DE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1</w:t>
      </w:r>
    </w:p>
    <w:p w14:paraId="307106DB" w14:textId="77777777" w:rsidR="00000000" w:rsidRPr="0025534A" w:rsidRDefault="000B70A6">
      <w:pPr>
        <w:pStyle w:val="NormalText"/>
        <w:rPr>
          <w:rFonts w:ascii="Palatino Linotype" w:hAnsi="Palatino Linotype"/>
          <w:sz w:val="20"/>
          <w:szCs w:val="20"/>
        </w:rPr>
      </w:pPr>
    </w:p>
    <w:p w14:paraId="7B20D6D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 When a taxpayer contacts a tax advisor requesting advice as to the most advantageous way to dispose of a stock, the tax advisor is faced with</w:t>
      </w:r>
    </w:p>
    <w:p w14:paraId="35DF342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a restricted-fact situation.</w:t>
      </w:r>
    </w:p>
    <w:p w14:paraId="4EDF7BA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a closed-fact situation.</w:t>
      </w:r>
    </w:p>
    <w:p w14:paraId="6E9883B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an open-fact si</w:t>
      </w:r>
      <w:r w:rsidRPr="0025534A">
        <w:rPr>
          <w:rFonts w:ascii="Palatino Linotype" w:hAnsi="Palatino Linotype" w:cs="Palatino Linotype"/>
          <w:sz w:val="20"/>
          <w:szCs w:val="20"/>
        </w:rPr>
        <w:t>tuation.</w:t>
      </w:r>
    </w:p>
    <w:p w14:paraId="6C013A6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 recognized-fact situation.</w:t>
      </w:r>
    </w:p>
    <w:p w14:paraId="062B3DB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43EA7DE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Advice before transaction is open fact situation.</w:t>
      </w:r>
    </w:p>
    <w:p w14:paraId="15ECCF2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w:t>
      </w:r>
    </w:p>
    <w:p w14:paraId="38D3C28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1</w:t>
      </w:r>
    </w:p>
    <w:p w14:paraId="2EDB0AE4" w14:textId="77777777" w:rsidR="00000000" w:rsidRPr="0025534A" w:rsidRDefault="000B70A6">
      <w:pPr>
        <w:pStyle w:val="NormalText"/>
        <w:rPr>
          <w:rFonts w:ascii="Palatino Linotype" w:hAnsi="Palatino Linotype"/>
          <w:sz w:val="20"/>
          <w:szCs w:val="20"/>
        </w:rPr>
      </w:pPr>
    </w:p>
    <w:p w14:paraId="243D8FB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3) Investigation of a tax problem that involves a closed-fact situation means that</w:t>
      </w:r>
    </w:p>
    <w:p w14:paraId="68C0275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the client's transact</w:t>
      </w:r>
      <w:r w:rsidRPr="0025534A">
        <w:rPr>
          <w:rFonts w:ascii="Palatino Linotype" w:hAnsi="Palatino Linotype" w:cs="Palatino Linotype"/>
          <w:sz w:val="20"/>
          <w:szCs w:val="20"/>
        </w:rPr>
        <w:t>ions have already occurred and the tax questions must now be resolved.</w:t>
      </w:r>
    </w:p>
    <w:p w14:paraId="2EB3159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client's tax return has yet to be filed.</w:t>
      </w:r>
    </w:p>
    <w:p w14:paraId="275036E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future events may be planned and controlled.</w:t>
      </w:r>
    </w:p>
    <w:p w14:paraId="4B56BE6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research is primarily concerned with applying the law to the facts as they exist.</w:t>
      </w:r>
    </w:p>
    <w:p w14:paraId="59D2DBF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w:t>
      </w:r>
      <w:r w:rsidRPr="0025534A">
        <w:rPr>
          <w:rFonts w:ascii="Palatino Linotype" w:hAnsi="Palatino Linotype" w:cs="Palatino Linotype"/>
          <w:sz w:val="20"/>
          <w:szCs w:val="20"/>
        </w:rPr>
        <w:t>er:  A</w:t>
      </w:r>
    </w:p>
    <w:p w14:paraId="094C8FA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After the fact request is a closed fact situation.</w:t>
      </w:r>
    </w:p>
    <w:p w14:paraId="5930EBF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w:t>
      </w:r>
    </w:p>
    <w:p w14:paraId="44D92FD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1</w:t>
      </w:r>
    </w:p>
    <w:p w14:paraId="5B0CD4B2" w14:textId="77777777" w:rsidR="00000000" w:rsidRPr="0025534A" w:rsidRDefault="000B70A6">
      <w:pPr>
        <w:pStyle w:val="NormalText"/>
        <w:rPr>
          <w:rFonts w:ascii="Palatino Linotype" w:hAnsi="Palatino Linotype"/>
          <w:sz w:val="20"/>
          <w:szCs w:val="20"/>
        </w:rPr>
      </w:pPr>
    </w:p>
    <w:p w14:paraId="1648941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4) Explain the difference between a closed-fact and open-fact situation.</w:t>
      </w:r>
    </w:p>
    <w:p w14:paraId="796637F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In a closed-</w:t>
      </w:r>
      <w:r w:rsidRPr="0025534A">
        <w:rPr>
          <w:rFonts w:ascii="Palatino Linotype" w:hAnsi="Palatino Linotype" w:cs="Palatino Linotype"/>
          <w:sz w:val="20"/>
          <w:szCs w:val="20"/>
        </w:rPr>
        <w:t>fact situation, the transaction has occurred and the facts are not subject to change. In an open-fact situation, the transaction is in the formative or projected stage, and the taxpayer is able to structure the facts so that the tax consequences of the tra</w:t>
      </w:r>
      <w:r w:rsidRPr="0025534A">
        <w:rPr>
          <w:rFonts w:ascii="Palatino Linotype" w:hAnsi="Palatino Linotype" w:cs="Palatino Linotype"/>
          <w:sz w:val="20"/>
          <w:szCs w:val="20"/>
        </w:rPr>
        <w:t>nsaction can be more favorable.</w:t>
      </w:r>
    </w:p>
    <w:p w14:paraId="617E7B2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w:t>
      </w:r>
    </w:p>
    <w:p w14:paraId="4C47D22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1</w:t>
      </w:r>
    </w:p>
    <w:p w14:paraId="7A55D81D" w14:textId="77777777" w:rsidR="00000000" w:rsidRPr="0025534A" w:rsidRDefault="000B70A6">
      <w:pPr>
        <w:pStyle w:val="NormalText"/>
        <w:rPr>
          <w:rFonts w:ascii="Palatino Linotype" w:hAnsi="Palatino Linotype"/>
          <w:sz w:val="20"/>
          <w:szCs w:val="20"/>
        </w:rPr>
      </w:pPr>
    </w:p>
    <w:p w14:paraId="6D663AB2" w14:textId="77777777" w:rsidR="00604AF9" w:rsidRDefault="00604AF9">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A50C858" w14:textId="00238306"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 In all situations, tax considerations are of primary importance. Do you agree or disagree? Support your answer.</w:t>
      </w:r>
    </w:p>
    <w:p w14:paraId="1822C2E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It is important to consider nontax objectives as well as tax object</w:t>
      </w:r>
      <w:r w:rsidRPr="0025534A">
        <w:rPr>
          <w:rFonts w:ascii="Palatino Linotype" w:hAnsi="Palatino Linotype" w:cs="Palatino Linotype"/>
          <w:sz w:val="20"/>
          <w:szCs w:val="20"/>
        </w:rPr>
        <w:t>ives. For instance, if a wealthy client wants to minimize her estate taxes while passing the greatest value possible to her descendants, you would not suggest that she leave the majority of her estate to charity and only a few hundred thousand dollars to h</w:t>
      </w:r>
      <w:r w:rsidRPr="0025534A">
        <w:rPr>
          <w:rFonts w:ascii="Palatino Linotype" w:hAnsi="Palatino Linotype" w:cs="Palatino Linotype"/>
          <w:sz w:val="20"/>
          <w:szCs w:val="20"/>
        </w:rPr>
        <w:t>er descendants. Although this would reduce her estate tax liability to zero, it would be inconsistent with her objective of allowing her descendants to receive as much after-tax wealth as possible.</w:t>
      </w:r>
    </w:p>
    <w:p w14:paraId="089B866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w:t>
      </w:r>
    </w:p>
    <w:p w14:paraId="517F4A7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1</w:t>
      </w:r>
    </w:p>
    <w:p w14:paraId="1B58DAE0" w14:textId="77777777" w:rsidR="00000000" w:rsidRPr="0025534A" w:rsidRDefault="000B70A6">
      <w:pPr>
        <w:pStyle w:val="NormalText"/>
        <w:rPr>
          <w:rFonts w:ascii="Palatino Linotype" w:hAnsi="Palatino Linotype"/>
          <w:sz w:val="20"/>
          <w:szCs w:val="20"/>
        </w:rPr>
      </w:pPr>
    </w:p>
    <w:p w14:paraId="3AD191D3" w14:textId="77777777" w:rsidR="00000000" w:rsidRPr="003516ED" w:rsidRDefault="000B70A6">
      <w:pPr>
        <w:pStyle w:val="NormalText"/>
      </w:pPr>
      <w:r w:rsidRPr="003516ED">
        <w:t>LO2:  Steps in the Tax Re</w:t>
      </w:r>
      <w:r w:rsidRPr="003516ED">
        <w:t>search Process</w:t>
      </w:r>
    </w:p>
    <w:p w14:paraId="14D42C50" w14:textId="77777777" w:rsidR="00000000" w:rsidRPr="0025534A" w:rsidRDefault="000B70A6">
      <w:pPr>
        <w:pStyle w:val="NormalText"/>
        <w:rPr>
          <w:rFonts w:ascii="Palatino Linotype" w:hAnsi="Palatino Linotype"/>
          <w:sz w:val="20"/>
          <w:szCs w:val="20"/>
        </w:rPr>
      </w:pPr>
    </w:p>
    <w:p w14:paraId="2AB4B8A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1) Identify which of the following statements is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w:t>
      </w:r>
    </w:p>
    <w:p w14:paraId="721DA6D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Tax planning is an integral part of both closed-fact situations and open-fact situations.</w:t>
      </w:r>
    </w:p>
    <w:p w14:paraId="7696E98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first step in conducting tax research is to clearly understand the issues involved.</w:t>
      </w:r>
    </w:p>
    <w:p w14:paraId="16892B3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w:t>
      </w:r>
      <w:r w:rsidRPr="0025534A">
        <w:rPr>
          <w:rFonts w:ascii="Palatino Linotype" w:hAnsi="Palatino Linotype" w:cs="Palatino Linotype"/>
          <w:sz w:val="20"/>
          <w:szCs w:val="20"/>
        </w:rPr>
        <w:t xml:space="preserve">)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xml:space="preserve"> recommend that only written tax advice be provided to the client in all situations.</w:t>
      </w:r>
    </w:p>
    <w:p w14:paraId="274BDB1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All of the above are false.</w:t>
      </w:r>
    </w:p>
    <w:p w14:paraId="2420A95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140E54D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xml:space="preserve"> recommend that only writ</w:t>
      </w:r>
      <w:r w:rsidRPr="0025534A">
        <w:rPr>
          <w:rFonts w:ascii="Palatino Linotype" w:hAnsi="Palatino Linotype" w:cs="Palatino Linotype"/>
          <w:sz w:val="20"/>
          <w:szCs w:val="20"/>
        </w:rPr>
        <w:t>ten tax advice be provided to the client in all situations.</w:t>
      </w:r>
    </w:p>
    <w:p w14:paraId="04D97FD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 through C:1-5</w:t>
      </w:r>
    </w:p>
    <w:p w14:paraId="270A3CBD"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2</w:t>
      </w:r>
    </w:p>
    <w:p w14:paraId="4EC8EC23" w14:textId="77777777" w:rsidR="00000000" w:rsidRPr="0025534A" w:rsidRDefault="000B70A6">
      <w:pPr>
        <w:pStyle w:val="NormalText"/>
        <w:rPr>
          <w:rFonts w:ascii="Palatino Linotype" w:hAnsi="Palatino Linotype"/>
          <w:sz w:val="20"/>
          <w:szCs w:val="20"/>
        </w:rPr>
      </w:pPr>
    </w:p>
    <w:p w14:paraId="0D17CD8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 Describe the format of a client memo.</w:t>
      </w:r>
    </w:p>
    <w:p w14:paraId="6533E96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 client memo should include a statement of the facts, a list of issues, a discussion of relevant a</w:t>
      </w:r>
      <w:r w:rsidRPr="0025534A">
        <w:rPr>
          <w:rFonts w:ascii="Palatino Linotype" w:hAnsi="Palatino Linotype" w:cs="Palatino Linotype"/>
          <w:sz w:val="20"/>
          <w:szCs w:val="20"/>
        </w:rPr>
        <w:t>uthority, analysis, and recommendations of appropriate actions to the client based on the research results.</w:t>
      </w:r>
    </w:p>
    <w:p w14:paraId="138E64A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See Additional Comment page C:1-4</w:t>
      </w:r>
    </w:p>
    <w:p w14:paraId="58B7DF5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2</w:t>
      </w:r>
    </w:p>
    <w:p w14:paraId="20FEE3F2" w14:textId="77777777" w:rsidR="00000000" w:rsidRPr="0025534A" w:rsidRDefault="000B70A6">
      <w:pPr>
        <w:pStyle w:val="NormalText"/>
        <w:rPr>
          <w:rFonts w:ascii="Palatino Linotype" w:hAnsi="Palatino Linotype"/>
          <w:sz w:val="20"/>
          <w:szCs w:val="20"/>
        </w:rPr>
      </w:pPr>
    </w:p>
    <w:p w14:paraId="6D7B734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3) </w:t>
      </w:r>
      <w:r w:rsidRPr="0025534A">
        <w:rPr>
          <w:rFonts w:ascii="Palatino Linotype" w:hAnsi="Palatino Linotype" w:cs="Palatino Linotype"/>
          <w:sz w:val="20"/>
          <w:szCs w:val="20"/>
        </w:rPr>
        <w:t>Outline and discuss the tax research process.</w:t>
      </w:r>
    </w:p>
    <w:p w14:paraId="7B304483" w14:textId="77777777" w:rsidR="00604AF9" w:rsidRDefault="00604AF9">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Answer:</w:t>
      </w:r>
    </w:p>
    <w:p w14:paraId="34019B98" w14:textId="05C1513A" w:rsidR="00000000" w:rsidRPr="0025534A" w:rsidRDefault="00604AF9">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w:t>
      </w:r>
      <w:r w:rsidR="000B70A6" w:rsidRPr="0025534A">
        <w:rPr>
          <w:rFonts w:ascii="Palatino Linotype" w:hAnsi="Palatino Linotype" w:cs="Palatino Linotype"/>
          <w:sz w:val="20"/>
          <w:szCs w:val="20"/>
        </w:rPr>
        <w:tab/>
        <w:t xml:space="preserve">The facts must be determined. However, some facts may not have occurred in an open-fact situation. Where facts have not yet occurred, it is useful to review tax research material to determine which </w:t>
      </w:r>
      <w:r w:rsidR="000B70A6" w:rsidRPr="0025534A">
        <w:rPr>
          <w:rFonts w:ascii="Palatino Linotype" w:hAnsi="Palatino Linotype" w:cs="Palatino Linotype"/>
          <w:sz w:val="20"/>
          <w:szCs w:val="20"/>
        </w:rPr>
        <w:t>facts would produce the most favorable outcome.</w:t>
      </w:r>
    </w:p>
    <w:p w14:paraId="3CBAF05C"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2)</w:t>
      </w:r>
      <w:r w:rsidRPr="0025534A">
        <w:rPr>
          <w:rFonts w:ascii="Palatino Linotype" w:hAnsi="Palatino Linotype" w:cs="Palatino Linotype"/>
          <w:sz w:val="20"/>
          <w:szCs w:val="20"/>
        </w:rPr>
        <w:tab/>
        <w:t>The issues must be determined. The issues may not always be clear and may be different than the client believes. Thus, only a thorough understanding of the facts permits an adequate formulation of the issu</w:t>
      </w:r>
      <w:r w:rsidRPr="0025534A">
        <w:rPr>
          <w:rFonts w:ascii="Palatino Linotype" w:hAnsi="Palatino Linotype" w:cs="Palatino Linotype"/>
          <w:sz w:val="20"/>
          <w:szCs w:val="20"/>
        </w:rPr>
        <w:t>es.</w:t>
      </w:r>
    </w:p>
    <w:p w14:paraId="6AA3C09A"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3)</w:t>
      </w:r>
      <w:r w:rsidRPr="0025534A">
        <w:rPr>
          <w:rFonts w:ascii="Palatino Linotype" w:hAnsi="Palatino Linotype" w:cs="Palatino Linotype"/>
          <w:sz w:val="20"/>
          <w:szCs w:val="20"/>
        </w:rPr>
        <w:tab/>
        <w:t>Determine which authorities are applicable.</w:t>
      </w:r>
    </w:p>
    <w:p w14:paraId="2720C337"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4)</w:t>
      </w:r>
      <w:r w:rsidRPr="0025534A">
        <w:rPr>
          <w:rFonts w:ascii="Palatino Linotype" w:hAnsi="Palatino Linotype" w:cs="Palatino Linotype"/>
          <w:sz w:val="20"/>
          <w:szCs w:val="20"/>
        </w:rPr>
        <w:tab/>
        <w:t>Evaluate the authorities. Choose the ones to follow when there are conflicting authorities.</w:t>
      </w:r>
    </w:p>
    <w:p w14:paraId="2EEDE4B5"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5)</w:t>
      </w:r>
      <w:r w:rsidRPr="0025534A">
        <w:rPr>
          <w:rFonts w:ascii="Palatino Linotype" w:hAnsi="Palatino Linotype" w:cs="Palatino Linotype"/>
          <w:sz w:val="20"/>
          <w:szCs w:val="20"/>
        </w:rPr>
        <w:tab/>
        <w:t>Communicate the result to the client. The communication with the client should not result in a misunderstan</w:t>
      </w:r>
      <w:r w:rsidRPr="0025534A">
        <w:rPr>
          <w:rFonts w:ascii="Palatino Linotype" w:hAnsi="Palatino Linotype" w:cs="Palatino Linotype"/>
          <w:sz w:val="20"/>
          <w:szCs w:val="20"/>
        </w:rPr>
        <w:t xml:space="preserve">ding. While discussions with the client may be suitable, it is recommended by the AICPA's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xml:space="preserve"> that the communication be written where issues are important, unusual or complicated. Many firms require that conclusions be </w:t>
      </w:r>
      <w:r w:rsidRPr="0025534A">
        <w:rPr>
          <w:rFonts w:ascii="Palatino Linotype" w:hAnsi="Palatino Linotype" w:cs="Palatino Linotype"/>
          <w:sz w:val="20"/>
          <w:szCs w:val="20"/>
        </w:rPr>
        <w:t>communicated in writing.</w:t>
      </w:r>
    </w:p>
    <w:p w14:paraId="776BB16B"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C:1-5</w:t>
      </w:r>
    </w:p>
    <w:p w14:paraId="7982428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2</w:t>
      </w:r>
    </w:p>
    <w:p w14:paraId="153EAA7B" w14:textId="77777777" w:rsidR="00000000" w:rsidRPr="0025534A" w:rsidRDefault="000B70A6">
      <w:pPr>
        <w:pStyle w:val="NormalText"/>
        <w:rPr>
          <w:rFonts w:ascii="Palatino Linotype" w:hAnsi="Palatino Linotype"/>
          <w:sz w:val="20"/>
          <w:szCs w:val="20"/>
        </w:rPr>
      </w:pPr>
    </w:p>
    <w:p w14:paraId="201EF32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4) Client approaches you regarding the tax implications of an acquisition of a competitor's business. Describe the six basic steps of tax research process to assist the client.</w:t>
      </w:r>
    </w:p>
    <w:p w14:paraId="5E62B0B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In both open</w:t>
      </w:r>
      <w:r w:rsidRPr="0025534A">
        <w:rPr>
          <w:rFonts w:ascii="Palatino Linotype" w:hAnsi="Palatino Linotype" w:cs="Palatino Linotype"/>
          <w:sz w:val="20"/>
          <w:szCs w:val="20"/>
        </w:rPr>
        <w:t>- and closed-fact situations, the tax research process involves six basic steps:</w:t>
      </w:r>
    </w:p>
    <w:p w14:paraId="0B21B03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b/>
          <w:bCs/>
          <w:sz w:val="20"/>
          <w:szCs w:val="20"/>
        </w:rPr>
        <w:t xml:space="preserve">1. </w:t>
      </w:r>
      <w:r w:rsidRPr="0025534A">
        <w:rPr>
          <w:rFonts w:ascii="Palatino Linotype" w:hAnsi="Palatino Linotype" w:cs="Palatino Linotype"/>
          <w:sz w:val="20"/>
          <w:szCs w:val="20"/>
        </w:rPr>
        <w:t>Determine the facts.</w:t>
      </w:r>
    </w:p>
    <w:p w14:paraId="267160F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b/>
          <w:bCs/>
          <w:sz w:val="20"/>
          <w:szCs w:val="20"/>
        </w:rPr>
        <w:t xml:space="preserve">2. </w:t>
      </w:r>
      <w:r w:rsidRPr="0025534A">
        <w:rPr>
          <w:rFonts w:ascii="Palatino Linotype" w:hAnsi="Palatino Linotype" w:cs="Palatino Linotype"/>
          <w:sz w:val="20"/>
          <w:szCs w:val="20"/>
        </w:rPr>
        <w:t>Identify the issues (questions).</w:t>
      </w:r>
    </w:p>
    <w:p w14:paraId="66A154F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b/>
          <w:bCs/>
          <w:sz w:val="20"/>
          <w:szCs w:val="20"/>
        </w:rPr>
        <w:t xml:space="preserve">3. </w:t>
      </w:r>
      <w:r w:rsidRPr="0025534A">
        <w:rPr>
          <w:rFonts w:ascii="Palatino Linotype" w:hAnsi="Palatino Linotype" w:cs="Palatino Linotype"/>
          <w:sz w:val="20"/>
          <w:szCs w:val="20"/>
        </w:rPr>
        <w:t>Locate the applicable authorities.</w:t>
      </w:r>
    </w:p>
    <w:p w14:paraId="5645904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b/>
          <w:bCs/>
          <w:sz w:val="20"/>
          <w:szCs w:val="20"/>
        </w:rPr>
        <w:t xml:space="preserve">4. </w:t>
      </w:r>
      <w:r w:rsidRPr="0025534A">
        <w:rPr>
          <w:rFonts w:ascii="Palatino Linotype" w:hAnsi="Palatino Linotype" w:cs="Palatino Linotype"/>
          <w:sz w:val="20"/>
          <w:szCs w:val="20"/>
        </w:rPr>
        <w:t xml:space="preserve">Evaluate the authorities and choose those to follow where the authorities </w:t>
      </w:r>
      <w:r w:rsidRPr="0025534A">
        <w:rPr>
          <w:rFonts w:ascii="Palatino Linotype" w:hAnsi="Palatino Linotype" w:cs="Palatino Linotype"/>
          <w:sz w:val="20"/>
          <w:szCs w:val="20"/>
        </w:rPr>
        <w:t>conflict.</w:t>
      </w:r>
    </w:p>
    <w:p w14:paraId="45BBBF2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b/>
          <w:bCs/>
          <w:sz w:val="20"/>
          <w:szCs w:val="20"/>
        </w:rPr>
        <w:t xml:space="preserve">5. </w:t>
      </w:r>
      <w:r w:rsidRPr="0025534A">
        <w:rPr>
          <w:rFonts w:ascii="Palatino Linotype" w:hAnsi="Palatino Linotype" w:cs="Palatino Linotype"/>
          <w:sz w:val="20"/>
          <w:szCs w:val="20"/>
        </w:rPr>
        <w:t>Analyze the facts in terms of the applicable authorities.</w:t>
      </w:r>
    </w:p>
    <w:p w14:paraId="4EA0A46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b/>
          <w:bCs/>
          <w:sz w:val="20"/>
          <w:szCs w:val="20"/>
        </w:rPr>
        <w:t xml:space="preserve">6. </w:t>
      </w:r>
      <w:r w:rsidRPr="0025534A">
        <w:rPr>
          <w:rFonts w:ascii="Palatino Linotype" w:hAnsi="Palatino Linotype" w:cs="Palatino Linotype"/>
          <w:sz w:val="20"/>
          <w:szCs w:val="20"/>
        </w:rPr>
        <w:t>Communicate conclusions and recommendations to the client.</w:t>
      </w:r>
    </w:p>
    <w:p w14:paraId="03CF61C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w:t>
      </w:r>
    </w:p>
    <w:p w14:paraId="45E6D3C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2</w:t>
      </w:r>
    </w:p>
    <w:p w14:paraId="435753E2" w14:textId="77777777" w:rsidR="00000000" w:rsidRPr="0025534A" w:rsidRDefault="000B70A6">
      <w:pPr>
        <w:pStyle w:val="NormalText"/>
        <w:rPr>
          <w:rFonts w:ascii="Palatino Linotype" w:hAnsi="Palatino Linotype"/>
          <w:sz w:val="20"/>
          <w:szCs w:val="20"/>
        </w:rPr>
      </w:pPr>
    </w:p>
    <w:p w14:paraId="0839CFB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 When should oral client communications be followed up in writing?</w:t>
      </w:r>
    </w:p>
    <w:p w14:paraId="2CE30F7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Written comm</w:t>
      </w:r>
      <w:r w:rsidRPr="0025534A">
        <w:rPr>
          <w:rFonts w:ascii="Palatino Linotype" w:hAnsi="Palatino Linotype" w:cs="Palatino Linotype"/>
          <w:sz w:val="20"/>
          <w:szCs w:val="20"/>
        </w:rPr>
        <w:t>unications are recommended in important, unusual, substantial</w:t>
      </w:r>
    </w:p>
    <w:p w14:paraId="1DD58D4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dollar value, or complicated transactions.</w:t>
      </w:r>
    </w:p>
    <w:p w14:paraId="249A452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C:1-5</w:t>
      </w:r>
    </w:p>
    <w:p w14:paraId="4D5B808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lastRenderedPageBreak/>
        <w:t>Objective:  2</w:t>
      </w:r>
    </w:p>
    <w:p w14:paraId="4A5F481C" w14:textId="77777777" w:rsidR="00000000" w:rsidRPr="0025534A" w:rsidRDefault="000B70A6">
      <w:pPr>
        <w:pStyle w:val="NormalText"/>
        <w:rPr>
          <w:rFonts w:ascii="Palatino Linotype" w:hAnsi="Palatino Linotype"/>
          <w:sz w:val="20"/>
          <w:szCs w:val="20"/>
        </w:rPr>
      </w:pPr>
    </w:p>
    <w:p w14:paraId="445E3E6D" w14:textId="77777777" w:rsidR="00000000" w:rsidRPr="003516ED" w:rsidRDefault="000B70A6">
      <w:pPr>
        <w:pStyle w:val="NormalText"/>
      </w:pPr>
      <w:r w:rsidRPr="003516ED">
        <w:t>LO3:  Importance of the Facts to the Tax Consequences</w:t>
      </w:r>
    </w:p>
    <w:p w14:paraId="6E8DB6C8" w14:textId="77777777" w:rsidR="00000000" w:rsidRPr="0025534A" w:rsidRDefault="000B70A6">
      <w:pPr>
        <w:pStyle w:val="NormalText"/>
        <w:rPr>
          <w:rFonts w:ascii="Palatino Linotype" w:hAnsi="Palatino Linotype"/>
          <w:sz w:val="20"/>
          <w:szCs w:val="20"/>
        </w:rPr>
      </w:pPr>
    </w:p>
    <w:p w14:paraId="4DAA190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1) </w:t>
      </w:r>
      <w:r w:rsidRPr="0025534A">
        <w:rPr>
          <w:rFonts w:ascii="Palatino Linotype" w:hAnsi="Palatino Linotype" w:cs="Palatino Linotype"/>
          <w:sz w:val="20"/>
          <w:szCs w:val="20"/>
        </w:rPr>
        <w:t>The tax consultant can give an opinion on a tax fact pattern without all the facts.</w:t>
      </w:r>
    </w:p>
    <w:p w14:paraId="118F23D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FALSE</w:t>
      </w:r>
    </w:p>
    <w:p w14:paraId="3B5EEA7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Tax practitioner should not provide an opinion without all relevant facts.</w:t>
      </w:r>
    </w:p>
    <w:p w14:paraId="4354A3C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C:1-6</w:t>
      </w:r>
    </w:p>
    <w:p w14:paraId="211BE20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3</w:t>
      </w:r>
    </w:p>
    <w:p w14:paraId="45BA42F7" w14:textId="77777777" w:rsidR="00000000" w:rsidRPr="0025534A" w:rsidRDefault="000B70A6">
      <w:pPr>
        <w:pStyle w:val="NormalText"/>
        <w:rPr>
          <w:rFonts w:ascii="Palatino Linotype" w:hAnsi="Palatino Linotype"/>
          <w:sz w:val="20"/>
          <w:szCs w:val="20"/>
        </w:rPr>
      </w:pPr>
    </w:p>
    <w:p w14:paraId="15A7C83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 Tax compliance is the biggest co</w:t>
      </w:r>
      <w:r w:rsidRPr="0025534A">
        <w:rPr>
          <w:rFonts w:ascii="Palatino Linotype" w:hAnsi="Palatino Linotype" w:cs="Palatino Linotype"/>
          <w:sz w:val="20"/>
          <w:szCs w:val="20"/>
        </w:rPr>
        <w:t>mponent of a tax practice.</w:t>
      </w:r>
    </w:p>
    <w:p w14:paraId="60B8883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FALSE</w:t>
      </w:r>
    </w:p>
    <w:p w14:paraId="224ECCE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Tax consulting is the biggest component of tax practice.</w:t>
      </w:r>
    </w:p>
    <w:p w14:paraId="441847E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C:1-6</w:t>
      </w:r>
    </w:p>
    <w:p w14:paraId="728A943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3</w:t>
      </w:r>
    </w:p>
    <w:p w14:paraId="49662B59" w14:textId="77777777" w:rsidR="00000000" w:rsidRPr="0025534A" w:rsidRDefault="000B70A6">
      <w:pPr>
        <w:pStyle w:val="NormalText"/>
        <w:rPr>
          <w:rFonts w:ascii="Palatino Linotype" w:hAnsi="Palatino Linotype"/>
          <w:sz w:val="20"/>
          <w:szCs w:val="20"/>
        </w:rPr>
      </w:pPr>
    </w:p>
    <w:p w14:paraId="6F99D5E9" w14:textId="77777777" w:rsidR="00000000" w:rsidRPr="003516ED" w:rsidRDefault="000B70A6">
      <w:pPr>
        <w:pStyle w:val="NormalText"/>
      </w:pPr>
      <w:r w:rsidRPr="003516ED">
        <w:t>LO4:  The Sources of Tax Law</w:t>
      </w:r>
    </w:p>
    <w:p w14:paraId="7BB05103" w14:textId="77777777" w:rsidR="00000000" w:rsidRPr="0025534A" w:rsidRDefault="000B70A6">
      <w:pPr>
        <w:pStyle w:val="NormalText"/>
        <w:rPr>
          <w:rFonts w:ascii="Palatino Linotype" w:hAnsi="Palatino Linotype"/>
          <w:sz w:val="20"/>
          <w:szCs w:val="20"/>
        </w:rPr>
      </w:pPr>
    </w:p>
    <w:p w14:paraId="3620EC9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 The Internal Revenue Code of 1986 contains the current version of the tax law</w:t>
      </w:r>
      <w:r w:rsidRPr="0025534A">
        <w:rPr>
          <w:rFonts w:ascii="Palatino Linotype" w:hAnsi="Palatino Linotype" w:cs="Palatino Linotype"/>
          <w:sz w:val="20"/>
          <w:szCs w:val="20"/>
        </w:rPr>
        <w:t>.</w:t>
      </w:r>
    </w:p>
    <w:p w14:paraId="2820D9C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TRUE</w:t>
      </w:r>
    </w:p>
    <w:p w14:paraId="0F4FBCB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The last update was 1986.</w:t>
      </w:r>
    </w:p>
    <w:p w14:paraId="0107003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C:1-8</w:t>
      </w:r>
    </w:p>
    <w:p w14:paraId="049FE1A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4A06278" w14:textId="77777777" w:rsidR="00000000" w:rsidRPr="0025534A" w:rsidRDefault="000B70A6">
      <w:pPr>
        <w:pStyle w:val="NormalText"/>
        <w:rPr>
          <w:rFonts w:ascii="Palatino Linotype" w:hAnsi="Palatino Linotype"/>
          <w:sz w:val="20"/>
          <w:szCs w:val="20"/>
        </w:rPr>
      </w:pPr>
    </w:p>
    <w:p w14:paraId="17EE474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 Regulations issued prior to the latest tax legislation dealing with a specific Code section are still effective to the extent they do not conflict with the provisio</w:t>
      </w:r>
      <w:r w:rsidRPr="0025534A">
        <w:rPr>
          <w:rFonts w:ascii="Palatino Linotype" w:hAnsi="Palatino Linotype" w:cs="Palatino Linotype"/>
          <w:sz w:val="20"/>
          <w:szCs w:val="20"/>
        </w:rPr>
        <w:t>ns in the new legislation.</w:t>
      </w:r>
    </w:p>
    <w:p w14:paraId="2B324E4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TRUE</w:t>
      </w:r>
    </w:p>
    <w:p w14:paraId="43F116F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Per IRC this remains accurate.</w:t>
      </w:r>
    </w:p>
    <w:p w14:paraId="130AC52B"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C:1-9</w:t>
      </w:r>
    </w:p>
    <w:p w14:paraId="1F3AC86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D260F33" w14:textId="77777777" w:rsidR="00000000" w:rsidRPr="0025534A" w:rsidRDefault="000B70A6">
      <w:pPr>
        <w:pStyle w:val="NormalText"/>
        <w:rPr>
          <w:rFonts w:ascii="Palatino Linotype" w:hAnsi="Palatino Linotype"/>
          <w:sz w:val="20"/>
          <w:szCs w:val="20"/>
        </w:rPr>
      </w:pPr>
    </w:p>
    <w:p w14:paraId="2821E8D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3) Final regulations have almost the same legislative weight as the IRC.</w:t>
      </w:r>
    </w:p>
    <w:p w14:paraId="37EDC39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TRUE</w:t>
      </w:r>
    </w:p>
    <w:p w14:paraId="37744E2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The Courts have followed this concep</w:t>
      </w:r>
      <w:r w:rsidRPr="0025534A">
        <w:rPr>
          <w:rFonts w:ascii="Palatino Linotype" w:hAnsi="Palatino Linotype" w:cs="Palatino Linotype"/>
          <w:sz w:val="20"/>
          <w:szCs w:val="20"/>
        </w:rPr>
        <w:t>t.</w:t>
      </w:r>
    </w:p>
    <w:p w14:paraId="03E6AB5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C:1-10</w:t>
      </w:r>
    </w:p>
    <w:p w14:paraId="4347466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063A5B2" w14:textId="77777777" w:rsidR="00000000" w:rsidRPr="0025534A" w:rsidRDefault="000B70A6">
      <w:pPr>
        <w:pStyle w:val="NormalText"/>
        <w:rPr>
          <w:rFonts w:ascii="Palatino Linotype" w:hAnsi="Palatino Linotype"/>
          <w:sz w:val="20"/>
          <w:szCs w:val="20"/>
        </w:rPr>
      </w:pPr>
    </w:p>
    <w:p w14:paraId="29D868D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4) </w:t>
      </w:r>
      <w:r w:rsidRPr="0025534A">
        <w:rPr>
          <w:rFonts w:ascii="Palatino Linotype" w:hAnsi="Palatino Linotype" w:cs="Palatino Linotype"/>
          <w:sz w:val="20"/>
          <w:szCs w:val="20"/>
        </w:rPr>
        <w:t>A revenue ruling is issued by the Internal Revenue Service only in response to a verbal inquiry by a taxpayer.</w:t>
      </w:r>
    </w:p>
    <w:p w14:paraId="6E39FAE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FALSE</w:t>
      </w:r>
    </w:p>
    <w:p w14:paraId="415A8B9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The IRS may voluntarily issue a revenue ruling.</w:t>
      </w:r>
    </w:p>
    <w:p w14:paraId="49A9F17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C:1-12</w:t>
      </w:r>
    </w:p>
    <w:p w14:paraId="17A0C19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D2E83AA" w14:textId="77777777" w:rsidR="00000000" w:rsidRPr="0025534A" w:rsidRDefault="000B70A6">
      <w:pPr>
        <w:pStyle w:val="NormalText"/>
        <w:rPr>
          <w:rFonts w:ascii="Palatino Linotype" w:hAnsi="Palatino Linotype"/>
          <w:sz w:val="20"/>
          <w:szCs w:val="20"/>
        </w:rPr>
      </w:pPr>
    </w:p>
    <w:p w14:paraId="4C7DB5C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 Taxpayers must pay the disputed</w:t>
      </w:r>
      <w:r w:rsidRPr="0025534A">
        <w:rPr>
          <w:rFonts w:ascii="Palatino Linotype" w:hAnsi="Palatino Linotype" w:cs="Palatino Linotype"/>
          <w:sz w:val="20"/>
          <w:szCs w:val="20"/>
        </w:rPr>
        <w:t xml:space="preserve"> tax prior to filing a case with the Tax Court.</w:t>
      </w:r>
    </w:p>
    <w:p w14:paraId="0DB33C6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FALSE</w:t>
      </w:r>
    </w:p>
    <w:p w14:paraId="3022171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Tax Court is the only court available in which taxpayer does not have to prepay the tax.</w:t>
      </w:r>
    </w:p>
    <w:p w14:paraId="26DC79A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C:1-14 and C:1-15</w:t>
      </w:r>
    </w:p>
    <w:p w14:paraId="7333497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11963F9D" w14:textId="77777777" w:rsidR="00000000" w:rsidRPr="0025534A" w:rsidRDefault="000B70A6">
      <w:pPr>
        <w:pStyle w:val="NormalText"/>
        <w:rPr>
          <w:rFonts w:ascii="Palatino Linotype" w:hAnsi="Palatino Linotype"/>
          <w:sz w:val="20"/>
          <w:szCs w:val="20"/>
        </w:rPr>
      </w:pPr>
    </w:p>
    <w:p w14:paraId="4C13145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 Appeals from the U.S. Tax Court are to the</w:t>
      </w:r>
      <w:r w:rsidRPr="0025534A">
        <w:rPr>
          <w:rFonts w:ascii="Palatino Linotype" w:hAnsi="Palatino Linotype" w:cs="Palatino Linotype"/>
          <w:sz w:val="20"/>
          <w:szCs w:val="20"/>
        </w:rPr>
        <w:t xml:space="preserve"> Court of Appeals for the Federal Circuit.</w:t>
      </w:r>
    </w:p>
    <w:p w14:paraId="13014C0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FALSE</w:t>
      </w:r>
    </w:p>
    <w:p w14:paraId="33CEF91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Appeals from the US Tax Court are to the Court of Appeals for the respective circuit.</w:t>
      </w:r>
    </w:p>
    <w:p w14:paraId="2635EE6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C:1-14 and C:1-15</w:t>
      </w:r>
    </w:p>
    <w:p w14:paraId="7E0878A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60898B3" w14:textId="77777777" w:rsidR="00000000" w:rsidRPr="0025534A" w:rsidRDefault="000B70A6">
      <w:pPr>
        <w:pStyle w:val="NormalText"/>
        <w:rPr>
          <w:rFonts w:ascii="Palatino Linotype" w:hAnsi="Palatino Linotype"/>
          <w:sz w:val="20"/>
          <w:szCs w:val="20"/>
        </w:rPr>
      </w:pPr>
    </w:p>
    <w:p w14:paraId="32D6C73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7) Appeals from the Court of Appeals go to the Suprem</w:t>
      </w:r>
      <w:r w:rsidRPr="0025534A">
        <w:rPr>
          <w:rFonts w:ascii="Palatino Linotype" w:hAnsi="Palatino Linotype" w:cs="Palatino Linotype"/>
          <w:sz w:val="20"/>
          <w:szCs w:val="20"/>
        </w:rPr>
        <w:t>e Court under a writ of certiorari. The Supreme Court decides whether or not they will hear the case.</w:t>
      </w:r>
    </w:p>
    <w:p w14:paraId="74A49D8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TRUE</w:t>
      </w:r>
    </w:p>
    <w:p w14:paraId="6A3C587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USSC reviews requests before acceptance.</w:t>
      </w:r>
    </w:p>
    <w:p w14:paraId="281B13B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C:1-14 and C:1-15</w:t>
      </w:r>
    </w:p>
    <w:p w14:paraId="31D033B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1B5BC979" w14:textId="77777777" w:rsidR="00000000" w:rsidRPr="0025534A" w:rsidRDefault="000B70A6">
      <w:pPr>
        <w:pStyle w:val="NormalText"/>
        <w:rPr>
          <w:rFonts w:ascii="Palatino Linotype" w:hAnsi="Palatino Linotype"/>
          <w:sz w:val="20"/>
          <w:szCs w:val="20"/>
        </w:rPr>
      </w:pPr>
    </w:p>
    <w:p w14:paraId="2B4CD4F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8) When the Tax Court follows the opinio</w:t>
      </w:r>
      <w:r w:rsidRPr="0025534A">
        <w:rPr>
          <w:rFonts w:ascii="Palatino Linotype" w:hAnsi="Palatino Linotype" w:cs="Palatino Linotype"/>
          <w:sz w:val="20"/>
          <w:szCs w:val="20"/>
        </w:rPr>
        <w:t>n of the circuit court of appeals to which the case is appealable, the court is following the</w:t>
      </w:r>
    </w:p>
    <w:p w14:paraId="3D92CF7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w:t>
      </w:r>
      <w:r w:rsidRPr="0025534A">
        <w:rPr>
          <w:rFonts w:ascii="Palatino Linotype" w:hAnsi="Palatino Linotype" w:cs="Palatino Linotype"/>
          <w:sz w:val="20"/>
          <w:szCs w:val="20"/>
          <w:u w:val="single"/>
        </w:rPr>
        <w:t>Golsen</w:t>
      </w:r>
      <w:r w:rsidRPr="0025534A">
        <w:rPr>
          <w:rFonts w:ascii="Palatino Linotype" w:hAnsi="Palatino Linotype" w:cs="Palatino Linotype"/>
          <w:sz w:val="20"/>
          <w:szCs w:val="20"/>
        </w:rPr>
        <w:t xml:space="preserve"> rule.</w:t>
      </w:r>
    </w:p>
    <w:p w14:paraId="442CCF0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Acquiescence rule.</w:t>
      </w:r>
    </w:p>
    <w:p w14:paraId="060E58F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Forum shopping rule.</w:t>
      </w:r>
    </w:p>
    <w:p w14:paraId="6F77E26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Conformity rule.</w:t>
      </w:r>
    </w:p>
    <w:p w14:paraId="65349D9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2E8EC1E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w:t>
      </w:r>
      <w:r w:rsidRPr="0025534A">
        <w:rPr>
          <w:rFonts w:ascii="Palatino Linotype" w:hAnsi="Palatino Linotype" w:cs="Palatino Linotype"/>
          <w:sz w:val="20"/>
          <w:szCs w:val="20"/>
        </w:rPr>
        <w:t xml:space="preserve">Since 1970 the Tax Court has followed the </w:t>
      </w:r>
      <w:r w:rsidRPr="0025534A">
        <w:rPr>
          <w:rFonts w:ascii="Palatino Linotype" w:hAnsi="Palatino Linotype" w:cs="Palatino Linotype"/>
          <w:sz w:val="20"/>
          <w:szCs w:val="20"/>
          <w:u w:val="single"/>
        </w:rPr>
        <w:t>Golsen</w:t>
      </w:r>
      <w:r w:rsidRPr="0025534A">
        <w:rPr>
          <w:rFonts w:ascii="Palatino Linotype" w:hAnsi="Palatino Linotype" w:cs="Palatino Linotype"/>
          <w:sz w:val="20"/>
          <w:szCs w:val="20"/>
        </w:rPr>
        <w:t xml:space="preserve"> rule.</w:t>
      </w:r>
    </w:p>
    <w:p w14:paraId="35B0E9F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C:1-21</w:t>
      </w:r>
    </w:p>
    <w:p w14:paraId="5F0DAEE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AFAE660" w14:textId="77777777" w:rsidR="00000000" w:rsidRPr="0025534A" w:rsidRDefault="000B70A6">
      <w:pPr>
        <w:pStyle w:val="NormalText"/>
        <w:rPr>
          <w:rFonts w:ascii="Palatino Linotype" w:hAnsi="Palatino Linotype"/>
          <w:sz w:val="20"/>
          <w:szCs w:val="20"/>
        </w:rPr>
      </w:pPr>
    </w:p>
    <w:p w14:paraId="54373362" w14:textId="77777777" w:rsidR="00604AF9" w:rsidRDefault="00604AF9">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664B548" w14:textId="35D55553"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9) Which of the following citations denotes a regular decision of the Tax Court?</w:t>
      </w:r>
    </w:p>
    <w:p w14:paraId="108B852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41 TCM 1272</w:t>
      </w:r>
    </w:p>
    <w:p w14:paraId="537F84D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35 T.C. 1083 (2003)</w:t>
      </w:r>
    </w:p>
    <w:p w14:paraId="5E178F2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39 AFTR 2d 77-640</w:t>
      </w:r>
    </w:p>
    <w:p w14:paraId="48DCD39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41 USSC 1099</w:t>
      </w:r>
    </w:p>
    <w:p w14:paraId="5AAD452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4443D7F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TC is Tax Court citation.</w:t>
      </w:r>
    </w:p>
    <w:p w14:paraId="79C0176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C:1-17</w:t>
      </w:r>
    </w:p>
    <w:p w14:paraId="594EEF5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44408824" w14:textId="77777777" w:rsidR="00000000" w:rsidRPr="0025534A" w:rsidRDefault="000B70A6">
      <w:pPr>
        <w:pStyle w:val="NormalText"/>
        <w:rPr>
          <w:rFonts w:ascii="Palatino Linotype" w:hAnsi="Palatino Linotype"/>
          <w:sz w:val="20"/>
          <w:szCs w:val="20"/>
        </w:rPr>
      </w:pPr>
    </w:p>
    <w:p w14:paraId="7AB3950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10) The primary citation for a federal circuit court of appeals case would be</w:t>
      </w:r>
    </w:p>
    <w:p w14:paraId="566855F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40 AFTR 2d 78-1234.</w:t>
      </w:r>
    </w:p>
    <w:p w14:paraId="7BB63E9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44 F.Supp. 403.</w:t>
      </w:r>
    </w:p>
    <w:p w14:paraId="198C159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3 F.3d 134.</w:t>
      </w:r>
    </w:p>
    <w:p w14:paraId="2E257A6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79-2 USTC &amp; 9693.</w:t>
      </w:r>
    </w:p>
    <w:p w14:paraId="6ED5A9D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15E28B6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w:t>
      </w:r>
      <w:r w:rsidRPr="0025534A">
        <w:rPr>
          <w:rFonts w:ascii="Palatino Linotype" w:hAnsi="Palatino Linotype" w:cs="Palatino Linotype"/>
          <w:sz w:val="20"/>
          <w:szCs w:val="20"/>
        </w:rPr>
        <w:t>itation for federal circuit.</w:t>
      </w:r>
    </w:p>
    <w:p w14:paraId="2F0BD67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C:1-20</w:t>
      </w:r>
    </w:p>
    <w:p w14:paraId="742ECB4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423A146D" w14:textId="77777777" w:rsidR="00000000" w:rsidRPr="0025534A" w:rsidRDefault="000B70A6">
      <w:pPr>
        <w:pStyle w:val="NormalText"/>
        <w:rPr>
          <w:rFonts w:ascii="Palatino Linotype" w:hAnsi="Palatino Linotype"/>
          <w:sz w:val="20"/>
          <w:szCs w:val="20"/>
        </w:rPr>
      </w:pPr>
    </w:p>
    <w:p w14:paraId="492E702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11) You have the following citation: Joel Munro, 92 T.C. 71 (1989). Which of the following statements is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w:t>
      </w:r>
    </w:p>
    <w:p w14:paraId="1590E70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w:t>
      </w:r>
      <w:r w:rsidRPr="0025534A">
        <w:rPr>
          <w:rFonts w:ascii="Palatino Linotype" w:hAnsi="Palatino Linotype" w:cs="Palatino Linotype"/>
          <w:sz w:val="20"/>
          <w:szCs w:val="20"/>
        </w:rPr>
        <w:t>The taxpayer, Joel Munro, won the case because there is no reference to the IRS.</w:t>
      </w:r>
    </w:p>
    <w:p w14:paraId="72FCAC9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B) The case appears on page 71 in Volume 92 of the official </w:t>
      </w:r>
      <w:r w:rsidRPr="0025534A">
        <w:rPr>
          <w:rFonts w:ascii="Palatino Linotype" w:hAnsi="Palatino Linotype" w:cs="Palatino Linotype"/>
          <w:sz w:val="20"/>
          <w:szCs w:val="20"/>
          <w:u w:val="single"/>
        </w:rPr>
        <w:t>Tax Court of the United States Reports</w:t>
      </w:r>
      <w:r w:rsidRPr="0025534A">
        <w:rPr>
          <w:rFonts w:ascii="Palatino Linotype" w:hAnsi="Palatino Linotype" w:cs="Palatino Linotype"/>
          <w:i/>
          <w:iCs/>
          <w:sz w:val="20"/>
          <w:szCs w:val="20"/>
        </w:rPr>
        <w:t xml:space="preserve"> </w:t>
      </w:r>
      <w:r w:rsidRPr="0025534A">
        <w:rPr>
          <w:rFonts w:ascii="Palatino Linotype" w:hAnsi="Palatino Linotype" w:cs="Palatino Linotype"/>
          <w:sz w:val="20"/>
          <w:szCs w:val="20"/>
        </w:rPr>
        <w:t>and the case was decided in 1989.</w:t>
      </w:r>
    </w:p>
    <w:p w14:paraId="627733D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w:t>
      </w:r>
      <w:r w:rsidRPr="0025534A">
        <w:rPr>
          <w:rFonts w:ascii="Palatino Linotype" w:hAnsi="Palatino Linotype" w:cs="Palatino Linotype"/>
          <w:sz w:val="20"/>
          <w:szCs w:val="20"/>
        </w:rPr>
        <w:t>This citation refers to a taxpayer conference between the IRS and the taxpayer.</w:t>
      </w:r>
    </w:p>
    <w:p w14:paraId="120D98E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The case was tried in 1989 and was appealed in 1992.</w:t>
      </w:r>
    </w:p>
    <w:p w14:paraId="2EAF93C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20C6476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Citation locator is correct.</w:t>
      </w:r>
    </w:p>
    <w:p w14:paraId="71AD7CF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C:1-17</w:t>
      </w:r>
    </w:p>
    <w:p w14:paraId="27A05EC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4E600D85" w14:textId="77777777" w:rsidR="00000000" w:rsidRPr="0025534A" w:rsidRDefault="000B70A6">
      <w:pPr>
        <w:pStyle w:val="NormalText"/>
        <w:rPr>
          <w:rFonts w:ascii="Palatino Linotype" w:hAnsi="Palatino Linotype"/>
          <w:sz w:val="20"/>
          <w:szCs w:val="20"/>
        </w:rPr>
      </w:pPr>
    </w:p>
    <w:p w14:paraId="55F3876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12) The term "tax law" includes</w:t>
      </w:r>
    </w:p>
    <w:p w14:paraId="7A9D427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Ways and Means Committee Report.</w:t>
      </w:r>
    </w:p>
    <w:p w14:paraId="7E0BD23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IRS Instructions.</w:t>
      </w:r>
    </w:p>
    <w:p w14:paraId="268C023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Third party tax advice website.</w:t>
      </w:r>
    </w:p>
    <w:p w14:paraId="643DAC0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legislation, treasury regulations &amp; judicial decisions.</w:t>
      </w:r>
    </w:p>
    <w:p w14:paraId="2CFE782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3953DBD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Each of these have value of tax law.</w:t>
      </w:r>
    </w:p>
    <w:p w14:paraId="61267E8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C:1-7</w:t>
      </w:r>
    </w:p>
    <w:p w14:paraId="1CD0172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7615B392" w14:textId="77777777" w:rsidR="00000000" w:rsidRPr="0025534A" w:rsidRDefault="000B70A6">
      <w:pPr>
        <w:pStyle w:val="NormalText"/>
        <w:rPr>
          <w:rFonts w:ascii="Palatino Linotype" w:hAnsi="Palatino Linotype"/>
          <w:sz w:val="20"/>
          <w:szCs w:val="20"/>
        </w:rPr>
      </w:pPr>
    </w:p>
    <w:p w14:paraId="7833280E" w14:textId="77777777" w:rsidR="00604AF9" w:rsidRDefault="00604AF9">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996D7E8" w14:textId="64BB1575"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13) Identi</w:t>
      </w:r>
      <w:r w:rsidRPr="0025534A">
        <w:rPr>
          <w:rFonts w:ascii="Palatino Linotype" w:hAnsi="Palatino Linotype" w:cs="Palatino Linotype"/>
          <w:sz w:val="20"/>
          <w:szCs w:val="20"/>
        </w:rPr>
        <w:t xml:space="preserve">fy which of the following statements is </w:t>
      </w:r>
      <w:r w:rsidRPr="0025534A">
        <w:rPr>
          <w:rFonts w:ascii="Palatino Linotype" w:hAnsi="Palatino Linotype" w:cs="Palatino Linotype"/>
          <w:sz w:val="20"/>
          <w:szCs w:val="20"/>
          <w:u w:val="single"/>
        </w:rPr>
        <w:t>false</w:t>
      </w:r>
      <w:r w:rsidRPr="0025534A">
        <w:rPr>
          <w:rFonts w:ascii="Palatino Linotype" w:hAnsi="Palatino Linotype" w:cs="Palatino Linotype"/>
          <w:sz w:val="20"/>
          <w:szCs w:val="20"/>
        </w:rPr>
        <w:t>.</w:t>
      </w:r>
    </w:p>
    <w:p w14:paraId="6AE5C07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When tax advisors speak of the "tax law," they usually have in mind just the Internal Revenue Code.</w:t>
      </w:r>
    </w:p>
    <w:p w14:paraId="0B155F4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Members from both the House and the Senate are on the Conference Committee.</w:t>
      </w:r>
    </w:p>
    <w:p w14:paraId="4DF4528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Records of committee hea</w:t>
      </w:r>
      <w:r w:rsidRPr="0025534A">
        <w:rPr>
          <w:rFonts w:ascii="Palatino Linotype" w:hAnsi="Palatino Linotype" w:cs="Palatino Linotype"/>
          <w:sz w:val="20"/>
          <w:szCs w:val="20"/>
        </w:rPr>
        <w:t>rings are helpful in determining Congressional intent.</w:t>
      </w:r>
    </w:p>
    <w:p w14:paraId="310DC51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All of the above are false.</w:t>
      </w:r>
    </w:p>
    <w:p w14:paraId="784E5C2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7132B78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IRC is the main source document.</w:t>
      </w:r>
    </w:p>
    <w:p w14:paraId="41B7DB6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C:1-7</w:t>
      </w:r>
    </w:p>
    <w:p w14:paraId="4569207D"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6D1030FA" w14:textId="77777777" w:rsidR="00000000" w:rsidRPr="0025534A" w:rsidRDefault="000B70A6">
      <w:pPr>
        <w:pStyle w:val="NormalText"/>
        <w:rPr>
          <w:rFonts w:ascii="Palatino Linotype" w:hAnsi="Palatino Linotype"/>
          <w:sz w:val="20"/>
          <w:szCs w:val="20"/>
        </w:rPr>
      </w:pPr>
    </w:p>
    <w:p w14:paraId="2133D14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14) </w:t>
      </w:r>
      <w:r w:rsidRPr="0025534A">
        <w:rPr>
          <w:rFonts w:ascii="Palatino Linotype" w:hAnsi="Palatino Linotype" w:cs="Palatino Linotype"/>
          <w:sz w:val="20"/>
          <w:szCs w:val="20"/>
        </w:rPr>
        <w:t>The committee that is responsible for holding hearings on tax legislation for the House of Representatives is the</w:t>
      </w:r>
    </w:p>
    <w:p w14:paraId="5BF1086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Finance Committee.</w:t>
      </w:r>
    </w:p>
    <w:p w14:paraId="48DD4A2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Joint Committee on Taxation.</w:t>
      </w:r>
    </w:p>
    <w:p w14:paraId="6C72FDC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Conference Committee.</w:t>
      </w:r>
    </w:p>
    <w:p w14:paraId="127FABC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Ways and Means Committee.</w:t>
      </w:r>
    </w:p>
    <w:p w14:paraId="46EE4A3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3EA1CDB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The Ways </w:t>
      </w:r>
      <w:r w:rsidRPr="0025534A">
        <w:rPr>
          <w:rFonts w:ascii="Palatino Linotype" w:hAnsi="Palatino Linotype" w:cs="Palatino Linotype"/>
          <w:sz w:val="20"/>
          <w:szCs w:val="20"/>
        </w:rPr>
        <w:t>and Means is responsible for holding hearings on tax legislation.</w:t>
      </w:r>
    </w:p>
    <w:p w14:paraId="605CAB2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C:1-7</w:t>
      </w:r>
    </w:p>
    <w:p w14:paraId="5E1E1B2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4404A546" w14:textId="77777777" w:rsidR="00000000" w:rsidRPr="0025534A" w:rsidRDefault="000B70A6">
      <w:pPr>
        <w:pStyle w:val="NormalText"/>
        <w:rPr>
          <w:rFonts w:ascii="Palatino Linotype" w:hAnsi="Palatino Linotype"/>
          <w:sz w:val="20"/>
          <w:szCs w:val="20"/>
        </w:rPr>
      </w:pPr>
    </w:p>
    <w:p w14:paraId="01453CC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15) A tax bill introduced in the House of Representatives is then</w:t>
      </w:r>
    </w:p>
    <w:p w14:paraId="583A848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referred to the House Ways and Means Committee for hearings and approval.</w:t>
      </w:r>
    </w:p>
    <w:p w14:paraId="57FAF2C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referred to</w:t>
      </w:r>
      <w:r w:rsidRPr="0025534A">
        <w:rPr>
          <w:rFonts w:ascii="Palatino Linotype" w:hAnsi="Palatino Linotype" w:cs="Palatino Linotype"/>
          <w:sz w:val="20"/>
          <w:szCs w:val="20"/>
        </w:rPr>
        <w:t xml:space="preserve"> the entire House for hearings.</w:t>
      </w:r>
    </w:p>
    <w:p w14:paraId="5140A96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voted upon by the entire House.</w:t>
      </w:r>
    </w:p>
    <w:p w14:paraId="38AF26C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forwarded to the Senate Finance Committee for consideration.</w:t>
      </w:r>
    </w:p>
    <w:p w14:paraId="326FD57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075D3E6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Tax bills are referred to the Ways and Means Committee.</w:t>
      </w:r>
    </w:p>
    <w:p w14:paraId="1F2EC44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C:1-7</w:t>
      </w:r>
    </w:p>
    <w:p w14:paraId="602D156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C9C3943" w14:textId="77777777" w:rsidR="00000000" w:rsidRPr="0025534A" w:rsidRDefault="000B70A6">
      <w:pPr>
        <w:pStyle w:val="NormalText"/>
        <w:rPr>
          <w:rFonts w:ascii="Palatino Linotype" w:hAnsi="Palatino Linotype"/>
          <w:sz w:val="20"/>
          <w:szCs w:val="20"/>
        </w:rPr>
      </w:pPr>
    </w:p>
    <w:p w14:paraId="504D956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16) The Sen</w:t>
      </w:r>
      <w:r w:rsidRPr="0025534A">
        <w:rPr>
          <w:rFonts w:ascii="Palatino Linotype" w:hAnsi="Palatino Linotype" w:cs="Palatino Linotype"/>
          <w:sz w:val="20"/>
          <w:szCs w:val="20"/>
        </w:rPr>
        <w:t>ate equivalent of the House Ways and Means Committee is the Senate</w:t>
      </w:r>
    </w:p>
    <w:p w14:paraId="4B6A91D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Finance Committee.</w:t>
      </w:r>
    </w:p>
    <w:p w14:paraId="526A197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Ways and Means Committee.</w:t>
      </w:r>
    </w:p>
    <w:p w14:paraId="4B5F7F5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Tax Committee.</w:t>
      </w:r>
    </w:p>
    <w:p w14:paraId="29A5CEC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Joint Conference Committee.</w:t>
      </w:r>
    </w:p>
    <w:p w14:paraId="58FB7B4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42B4D60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Senate committee is Finance Committee.</w:t>
      </w:r>
    </w:p>
    <w:p w14:paraId="2E832A0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C:1-7</w:t>
      </w:r>
    </w:p>
    <w:p w14:paraId="78F0087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w:t>
      </w:r>
      <w:r w:rsidRPr="0025534A">
        <w:rPr>
          <w:rFonts w:ascii="Palatino Linotype" w:hAnsi="Palatino Linotype"/>
          <w:sz w:val="20"/>
          <w:szCs w:val="20"/>
        </w:rPr>
        <w:t>ve:  4</w:t>
      </w:r>
    </w:p>
    <w:p w14:paraId="2B81805E" w14:textId="77777777" w:rsidR="00000000" w:rsidRPr="0025534A" w:rsidRDefault="000B70A6">
      <w:pPr>
        <w:pStyle w:val="NormalText"/>
        <w:rPr>
          <w:rFonts w:ascii="Palatino Linotype" w:hAnsi="Palatino Linotype"/>
          <w:sz w:val="20"/>
          <w:szCs w:val="20"/>
        </w:rPr>
      </w:pPr>
    </w:p>
    <w:p w14:paraId="28C8D365" w14:textId="77777777" w:rsidR="00604AF9" w:rsidRDefault="00604AF9">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22266666" w14:textId="5D949945"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17) Which of the following steps, related to a tax bill, occurs first?</w:t>
      </w:r>
    </w:p>
    <w:p w14:paraId="36331F2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signature or veto by the President of the United States</w:t>
      </w:r>
    </w:p>
    <w:p w14:paraId="623E518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consideration by the Senate Finance Committee</w:t>
      </w:r>
    </w:p>
    <w:p w14:paraId="0BC9F99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w:t>
      </w:r>
      <w:r w:rsidRPr="0025534A">
        <w:rPr>
          <w:rFonts w:ascii="Palatino Linotype" w:hAnsi="Palatino Linotype" w:cs="Palatino Linotype"/>
          <w:sz w:val="20"/>
          <w:szCs w:val="20"/>
        </w:rPr>
        <w:t>consideration by the entire Senate</w:t>
      </w:r>
    </w:p>
    <w:p w14:paraId="5E78D80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consideration by the House Ways and Means Committee</w:t>
      </w:r>
    </w:p>
    <w:p w14:paraId="5D03FA3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7CA2742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Tax bill is considered by House Ways and Means Committee.</w:t>
      </w:r>
    </w:p>
    <w:p w14:paraId="7F4FFA0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C:1-7</w:t>
      </w:r>
    </w:p>
    <w:p w14:paraId="3A36C46B"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6219FE6E" w14:textId="77777777" w:rsidR="00000000" w:rsidRPr="0025534A" w:rsidRDefault="000B70A6">
      <w:pPr>
        <w:pStyle w:val="NormalText"/>
        <w:rPr>
          <w:rFonts w:ascii="Palatino Linotype" w:hAnsi="Palatino Linotype"/>
          <w:sz w:val="20"/>
          <w:szCs w:val="20"/>
        </w:rPr>
      </w:pPr>
    </w:p>
    <w:p w14:paraId="1A42BFB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18) When the House and Senate versions of a tax bi</w:t>
      </w:r>
      <w:r w:rsidRPr="0025534A">
        <w:rPr>
          <w:rFonts w:ascii="Palatino Linotype" w:hAnsi="Palatino Linotype" w:cs="Palatino Linotype"/>
          <w:sz w:val="20"/>
          <w:szCs w:val="20"/>
        </w:rPr>
        <w:t>ll are not in agreement, the disagreements are resolved by the</w:t>
      </w:r>
    </w:p>
    <w:p w14:paraId="0DC0BB3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Ways and Means Committee.</w:t>
      </w:r>
    </w:p>
    <w:p w14:paraId="35DA5B7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Mediation Committee.</w:t>
      </w:r>
    </w:p>
    <w:p w14:paraId="14F37FB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Revenue Committee.</w:t>
      </w:r>
    </w:p>
    <w:p w14:paraId="5C77F5C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Conference Committee.</w:t>
      </w:r>
    </w:p>
    <w:p w14:paraId="011DEDF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743F593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Conference committee resolves disagreements.</w:t>
      </w:r>
    </w:p>
    <w:p w14:paraId="3D4FC66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C:1-7</w:t>
      </w:r>
    </w:p>
    <w:p w14:paraId="387ABD2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w:t>
      </w:r>
      <w:r w:rsidRPr="0025534A">
        <w:rPr>
          <w:rFonts w:ascii="Palatino Linotype" w:hAnsi="Palatino Linotype"/>
          <w:sz w:val="20"/>
          <w:szCs w:val="20"/>
        </w:rPr>
        <w:t>tive:  4</w:t>
      </w:r>
    </w:p>
    <w:p w14:paraId="57B64373" w14:textId="77777777" w:rsidR="00000000" w:rsidRPr="0025534A" w:rsidRDefault="000B70A6">
      <w:pPr>
        <w:pStyle w:val="NormalText"/>
        <w:rPr>
          <w:rFonts w:ascii="Palatino Linotype" w:hAnsi="Palatino Linotype"/>
          <w:sz w:val="20"/>
          <w:szCs w:val="20"/>
        </w:rPr>
      </w:pPr>
    </w:p>
    <w:p w14:paraId="06466FE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19) Identify which of the following statements is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w:t>
      </w:r>
    </w:p>
    <w:p w14:paraId="5740356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Paragraph references are most commonly used when citing or referring to the tax statutes.</w:t>
      </w:r>
    </w:p>
    <w:p w14:paraId="554CAE1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Title 26 of the United States Code and the Internal Revenue Code of 1986 are synonymous.</w:t>
      </w:r>
    </w:p>
    <w:p w14:paraId="79C0939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Be</w:t>
      </w:r>
      <w:r w:rsidRPr="0025534A">
        <w:rPr>
          <w:rFonts w:ascii="Palatino Linotype" w:hAnsi="Palatino Linotype" w:cs="Palatino Linotype"/>
          <w:sz w:val="20"/>
          <w:szCs w:val="20"/>
        </w:rPr>
        <w:t>fore 1939, tax statutes were codified or compiled into one document.</w:t>
      </w:r>
    </w:p>
    <w:p w14:paraId="6BEB91E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The Internal Revenue Code contains chapters, which are further subdivided into titles.</w:t>
      </w:r>
    </w:p>
    <w:p w14:paraId="474A0B3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7E9DEA6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IRC is Title 26 of the USC.</w:t>
      </w:r>
    </w:p>
    <w:p w14:paraId="0B36DAC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C:1-8</w:t>
      </w:r>
    </w:p>
    <w:p w14:paraId="52729D2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12033A0F" w14:textId="77777777" w:rsidR="00000000" w:rsidRPr="0025534A" w:rsidRDefault="000B70A6">
      <w:pPr>
        <w:pStyle w:val="NormalText"/>
        <w:rPr>
          <w:rFonts w:ascii="Palatino Linotype" w:hAnsi="Palatino Linotype"/>
          <w:sz w:val="20"/>
          <w:szCs w:val="20"/>
        </w:rPr>
      </w:pPr>
    </w:p>
    <w:p w14:paraId="20D70BF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20) </w:t>
      </w:r>
      <w:r w:rsidRPr="0025534A">
        <w:rPr>
          <w:rFonts w:ascii="Palatino Linotype" w:hAnsi="Palatino Linotype" w:cs="Palatino Linotype"/>
          <w:sz w:val="20"/>
          <w:szCs w:val="20"/>
        </w:rPr>
        <w:t>Title 26 of the U.S. Code includes</w:t>
      </w:r>
    </w:p>
    <w:p w14:paraId="74F2FD9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income tax legislation only.</w:t>
      </w:r>
    </w:p>
    <w:p w14:paraId="28F845A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gift tax and estate tax legislation only.</w:t>
      </w:r>
    </w:p>
    <w:p w14:paraId="5795EF5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alcohol and tobacco tax legislation only.</w:t>
      </w:r>
    </w:p>
    <w:p w14:paraId="2E0CA3B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all of the tax legislation mentioned above.</w:t>
      </w:r>
    </w:p>
    <w:p w14:paraId="35F28B8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34DEF21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Title 26 covers tax legisla</w:t>
      </w:r>
      <w:r w:rsidRPr="0025534A">
        <w:rPr>
          <w:rFonts w:ascii="Palatino Linotype" w:hAnsi="Palatino Linotype" w:cs="Palatino Linotype"/>
          <w:sz w:val="20"/>
          <w:szCs w:val="20"/>
        </w:rPr>
        <w:t>tion.</w:t>
      </w:r>
    </w:p>
    <w:p w14:paraId="67FB0DF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C:1-8</w:t>
      </w:r>
    </w:p>
    <w:p w14:paraId="2554796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4C1493E" w14:textId="77777777" w:rsidR="00000000" w:rsidRPr="0025534A" w:rsidRDefault="000B70A6">
      <w:pPr>
        <w:pStyle w:val="NormalText"/>
        <w:rPr>
          <w:rFonts w:ascii="Palatino Linotype" w:hAnsi="Palatino Linotype"/>
          <w:sz w:val="20"/>
          <w:szCs w:val="20"/>
        </w:rPr>
      </w:pPr>
    </w:p>
    <w:p w14:paraId="4ECD83BB"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623A28A" w14:textId="67875B7C"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21) The tax statutes with the popular name "The Internal Revenue Code of 1986" are contained in which Title of the Code?</w:t>
      </w:r>
    </w:p>
    <w:p w14:paraId="501F923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20</w:t>
      </w:r>
    </w:p>
    <w:p w14:paraId="66398BE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25</w:t>
      </w:r>
    </w:p>
    <w:p w14:paraId="48B98FD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26</w:t>
      </w:r>
    </w:p>
    <w:p w14:paraId="11CFD9F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301</w:t>
      </w:r>
    </w:p>
    <w:p w14:paraId="6DE893D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0E7BABA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Title 26 covers tax legislation.</w:t>
      </w:r>
    </w:p>
    <w:p w14:paraId="3974900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w:t>
      </w:r>
      <w:r w:rsidRPr="0025534A">
        <w:rPr>
          <w:rFonts w:ascii="Palatino Linotype" w:hAnsi="Palatino Linotype"/>
          <w:sz w:val="20"/>
          <w:szCs w:val="20"/>
        </w:rPr>
        <w:t>:1-8</w:t>
      </w:r>
    </w:p>
    <w:p w14:paraId="47C5B05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60AA6A4" w14:textId="77777777" w:rsidR="00000000" w:rsidRPr="0025534A" w:rsidRDefault="000B70A6">
      <w:pPr>
        <w:pStyle w:val="NormalText"/>
        <w:rPr>
          <w:rFonts w:ascii="Palatino Linotype" w:hAnsi="Palatino Linotype"/>
          <w:sz w:val="20"/>
          <w:szCs w:val="20"/>
        </w:rPr>
      </w:pPr>
    </w:p>
    <w:p w14:paraId="61A79B6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22) Which of the following statements regarding proposed regulations is </w:t>
      </w:r>
      <w:r w:rsidRPr="0025534A">
        <w:rPr>
          <w:rFonts w:ascii="Palatino Linotype" w:hAnsi="Palatino Linotype" w:cs="Palatino Linotype"/>
          <w:sz w:val="20"/>
          <w:szCs w:val="20"/>
          <w:u w:val="single"/>
        </w:rPr>
        <w:t>not</w:t>
      </w:r>
      <w:r w:rsidRPr="0025534A">
        <w:rPr>
          <w:rFonts w:ascii="Palatino Linotype" w:hAnsi="Palatino Linotype" w:cs="Palatino Linotype"/>
          <w:sz w:val="20"/>
          <w:szCs w:val="20"/>
        </w:rPr>
        <w:t xml:space="preserve"> correct?</w:t>
      </w:r>
    </w:p>
    <w:p w14:paraId="760260C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Proposed regulations expire after three years.</w:t>
      </w:r>
    </w:p>
    <w:p w14:paraId="5447139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Practitioners and other interested parties may comment on proposed regulations.</w:t>
      </w:r>
    </w:p>
    <w:p w14:paraId="45C6B64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Proposed and te</w:t>
      </w:r>
      <w:r w:rsidRPr="0025534A">
        <w:rPr>
          <w:rFonts w:ascii="Palatino Linotype" w:hAnsi="Palatino Linotype" w:cs="Palatino Linotype"/>
          <w:sz w:val="20"/>
          <w:szCs w:val="20"/>
        </w:rPr>
        <w:t>mporary regulations are generally issued simultaneously.</w:t>
      </w:r>
    </w:p>
    <w:p w14:paraId="734AE33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Proposed regulations do not provide any insight into the IRS's interpretation of the tax law.</w:t>
      </w:r>
    </w:p>
    <w:p w14:paraId="1AFC45C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5B0E643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Proposed regulations provide insight into the IRS's interpretation of the tax</w:t>
      </w:r>
      <w:r w:rsidRPr="0025534A">
        <w:rPr>
          <w:rFonts w:ascii="Palatino Linotype" w:hAnsi="Palatino Linotype" w:cs="Palatino Linotype"/>
          <w:sz w:val="20"/>
          <w:szCs w:val="20"/>
        </w:rPr>
        <w:t xml:space="preserve"> law.</w:t>
      </w:r>
    </w:p>
    <w:p w14:paraId="5227B2A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C:1-9</w:t>
      </w:r>
    </w:p>
    <w:p w14:paraId="57FC8EB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EFD2170" w14:textId="77777777" w:rsidR="00000000" w:rsidRPr="0025534A" w:rsidRDefault="000B70A6">
      <w:pPr>
        <w:pStyle w:val="NormalText"/>
        <w:rPr>
          <w:rFonts w:ascii="Palatino Linotype" w:hAnsi="Palatino Linotype"/>
          <w:sz w:val="20"/>
          <w:szCs w:val="20"/>
        </w:rPr>
      </w:pPr>
    </w:p>
    <w:p w14:paraId="1FF87651" w14:textId="77777777" w:rsidR="00000000" w:rsidRPr="0025534A" w:rsidRDefault="000B70A6">
      <w:pPr>
        <w:pStyle w:val="NormalText"/>
        <w:rPr>
          <w:rFonts w:ascii="Palatino Linotype" w:hAnsi="Palatino Linotype" w:cs="Palatino Linotype"/>
          <w:sz w:val="20"/>
          <w:szCs w:val="20"/>
          <w:u w:val="single"/>
        </w:rPr>
      </w:pPr>
      <w:r w:rsidRPr="0025534A">
        <w:rPr>
          <w:rFonts w:ascii="Palatino Linotype" w:hAnsi="Palatino Linotype" w:cs="Palatino Linotype"/>
          <w:sz w:val="20"/>
          <w:szCs w:val="20"/>
        </w:rPr>
        <w:t xml:space="preserve">23) Final regulations can take effect on any of the following dates </w:t>
      </w:r>
      <w:r w:rsidRPr="0025534A">
        <w:rPr>
          <w:rFonts w:ascii="Palatino Linotype" w:hAnsi="Palatino Linotype" w:cs="Palatino Linotype"/>
          <w:sz w:val="20"/>
          <w:szCs w:val="20"/>
          <w:u w:val="single"/>
        </w:rPr>
        <w:t>except</w:t>
      </w:r>
    </w:p>
    <w:p w14:paraId="19DFD6D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w:t>
      </w:r>
      <w:r w:rsidRPr="0025534A">
        <w:rPr>
          <w:rFonts w:ascii="Palatino Linotype" w:hAnsi="Palatino Linotype" w:cs="Palatino Linotype"/>
          <w:sz w:val="20"/>
          <w:szCs w:val="20"/>
        </w:rPr>
        <w:t>the effective date of the statutory language they interpret, provided they are issued within 18 months of the date of the change to the statute.</w:t>
      </w:r>
    </w:p>
    <w:p w14:paraId="3B41F90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date on which final regulations were proposed.</w:t>
      </w:r>
    </w:p>
    <w:p w14:paraId="6CFA81B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date on which related temporary regulations were f</w:t>
      </w:r>
      <w:r w:rsidRPr="0025534A">
        <w:rPr>
          <w:rFonts w:ascii="Palatino Linotype" w:hAnsi="Palatino Linotype" w:cs="Palatino Linotype"/>
          <w:sz w:val="20"/>
          <w:szCs w:val="20"/>
        </w:rPr>
        <w:t>irst published in the Federal Register.</w:t>
      </w:r>
    </w:p>
    <w:p w14:paraId="614F27F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the date on which they were issued in final form.</w:t>
      </w:r>
    </w:p>
    <w:p w14:paraId="34BD0A8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5349575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Once finalized, regulations can be effective the earliest of (1) the date they were filed with the </w:t>
      </w:r>
      <w:r w:rsidRPr="0025534A">
        <w:rPr>
          <w:rFonts w:ascii="Palatino Linotype" w:hAnsi="Palatino Linotype" w:cs="Palatino Linotype"/>
          <w:i/>
          <w:iCs/>
          <w:sz w:val="20"/>
          <w:szCs w:val="20"/>
        </w:rPr>
        <w:t xml:space="preserve">Federal Register, </w:t>
      </w:r>
      <w:r w:rsidRPr="0025534A">
        <w:rPr>
          <w:rFonts w:ascii="Palatino Linotype" w:hAnsi="Palatino Linotype" w:cs="Palatino Linotype"/>
          <w:sz w:val="20"/>
          <w:szCs w:val="20"/>
        </w:rPr>
        <w:t>a daily publication t</w:t>
      </w:r>
      <w:r w:rsidRPr="0025534A">
        <w:rPr>
          <w:rFonts w:ascii="Palatino Linotype" w:hAnsi="Palatino Linotype" w:cs="Palatino Linotype"/>
          <w:sz w:val="20"/>
          <w:szCs w:val="20"/>
        </w:rPr>
        <w:t xml:space="preserve">hat contains federal government pronouncements; ( 2) the date temporary regulations preceding them were first published in the </w:t>
      </w:r>
      <w:r w:rsidRPr="0025534A">
        <w:rPr>
          <w:rFonts w:ascii="Palatino Linotype" w:hAnsi="Palatino Linotype" w:cs="Palatino Linotype"/>
          <w:i/>
          <w:iCs/>
          <w:sz w:val="20"/>
          <w:szCs w:val="20"/>
        </w:rPr>
        <w:t>Federal Register</w:t>
      </w:r>
      <w:r w:rsidRPr="0025534A">
        <w:rPr>
          <w:rFonts w:ascii="Palatino Linotype" w:hAnsi="Palatino Linotype" w:cs="Palatino Linotype"/>
          <w:sz w:val="20"/>
          <w:szCs w:val="20"/>
        </w:rPr>
        <w:t xml:space="preserve">; or (3) the date on which a notice describing the expected contents of the regulation was issued to the public. </w:t>
      </w:r>
      <w:r w:rsidRPr="0025534A">
        <w:rPr>
          <w:rFonts w:ascii="Palatino Linotype" w:hAnsi="Palatino Linotype" w:cs="Palatino Linotype"/>
          <w:sz w:val="20"/>
          <w:szCs w:val="20"/>
        </w:rPr>
        <w:t>For changes to the IRC enacted after July 29, 1996, the Treasury Department generally cannot issue regulations with retroactive effect.</w:t>
      </w:r>
    </w:p>
    <w:p w14:paraId="3FA8D2A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C:1-10</w:t>
      </w:r>
    </w:p>
    <w:p w14:paraId="4AA69BB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74B0EB7C" w14:textId="77777777" w:rsidR="00000000" w:rsidRPr="0025534A" w:rsidRDefault="000B70A6">
      <w:pPr>
        <w:pStyle w:val="NormalText"/>
        <w:rPr>
          <w:rFonts w:ascii="Palatino Linotype" w:hAnsi="Palatino Linotype"/>
          <w:sz w:val="20"/>
          <w:szCs w:val="20"/>
        </w:rPr>
      </w:pPr>
    </w:p>
    <w:p w14:paraId="5FEE3E93"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246E7BD" w14:textId="3D43750D"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24) When Congress passes a statute with language such as, "The Secretary shall prescri</w:t>
      </w:r>
      <w:r w:rsidRPr="0025534A">
        <w:rPr>
          <w:rFonts w:ascii="Palatino Linotype" w:hAnsi="Palatino Linotype" w:cs="Palatino Linotype"/>
          <w:sz w:val="20"/>
          <w:szCs w:val="20"/>
        </w:rPr>
        <w:t>be such regulations as he may deem necessary," the regulations ultimately issued for that statute are</w:t>
      </w:r>
    </w:p>
    <w:p w14:paraId="3535028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congressional regulations.</w:t>
      </w:r>
    </w:p>
    <w:p w14:paraId="4DAE7F6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statutory regulations.</w:t>
      </w:r>
    </w:p>
    <w:p w14:paraId="3A59AEF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interpretative regulations.</w:t>
      </w:r>
    </w:p>
    <w:p w14:paraId="1D9AF85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legislative regulations.</w:t>
      </w:r>
    </w:p>
    <w:p w14:paraId="5D356EE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65EB88B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Whenever the I</w:t>
      </w:r>
      <w:r w:rsidRPr="0025534A">
        <w:rPr>
          <w:rFonts w:ascii="Palatino Linotype" w:hAnsi="Palatino Linotype" w:cs="Palatino Linotype"/>
          <w:sz w:val="20"/>
          <w:szCs w:val="20"/>
        </w:rPr>
        <w:t>RC contains language such as "The Secretary shall prescribe such regulations as he may deem necessary" or "under regulations prescribed by the Secretary," the regulations interpreting the IRC provision are legislative.</w:t>
      </w:r>
    </w:p>
    <w:p w14:paraId="17E8288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C:1-10</w:t>
      </w:r>
    </w:p>
    <w:p w14:paraId="4066787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6273488" w14:textId="77777777" w:rsidR="00000000" w:rsidRPr="0025534A" w:rsidRDefault="000B70A6">
      <w:pPr>
        <w:pStyle w:val="NormalText"/>
        <w:rPr>
          <w:rFonts w:ascii="Palatino Linotype" w:hAnsi="Palatino Linotype"/>
          <w:sz w:val="20"/>
          <w:szCs w:val="20"/>
        </w:rPr>
      </w:pPr>
    </w:p>
    <w:p w14:paraId="1917291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25)</w:t>
      </w:r>
      <w:r w:rsidRPr="0025534A">
        <w:rPr>
          <w:rFonts w:ascii="Palatino Linotype" w:hAnsi="Palatino Linotype" w:cs="Palatino Linotype"/>
          <w:sz w:val="20"/>
          <w:szCs w:val="20"/>
        </w:rPr>
        <w:t xml:space="preserve"> Regulations are</w:t>
      </w:r>
    </w:p>
    <w:p w14:paraId="288F149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equal in authority to legislation.</w:t>
      </w:r>
    </w:p>
    <w:p w14:paraId="1416C80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equal in authority to legislation if statutory.</w:t>
      </w:r>
    </w:p>
    <w:p w14:paraId="49041A6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presumed to be valid and to have almost the same weight as the IRC.</w:t>
      </w:r>
    </w:p>
    <w:p w14:paraId="3D755F7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equal in authority to legislation if interpretative.</w:t>
      </w:r>
    </w:p>
    <w:p w14:paraId="5ADC631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53D199A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Final Treasury Regulations are presumed to be valid and have almost the same authoritative weight as the IRC.</w:t>
      </w:r>
    </w:p>
    <w:p w14:paraId="2AFFAB8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C:1-10</w:t>
      </w:r>
    </w:p>
    <w:p w14:paraId="2D632A9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5064A0B7" w14:textId="77777777" w:rsidR="00000000" w:rsidRPr="0025534A" w:rsidRDefault="000B70A6">
      <w:pPr>
        <w:pStyle w:val="NormalText"/>
        <w:rPr>
          <w:rFonts w:ascii="Palatino Linotype" w:hAnsi="Palatino Linotype"/>
          <w:sz w:val="20"/>
          <w:szCs w:val="20"/>
        </w:rPr>
      </w:pPr>
    </w:p>
    <w:p w14:paraId="3F76747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26) Identify which of the following statements is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w:t>
      </w:r>
    </w:p>
    <w:p w14:paraId="3E5F710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If regulations are issued prior to the </w:t>
      </w:r>
      <w:r w:rsidRPr="0025534A">
        <w:rPr>
          <w:rFonts w:ascii="Palatino Linotype" w:hAnsi="Palatino Linotype" w:cs="Palatino Linotype"/>
          <w:sz w:val="20"/>
          <w:szCs w:val="20"/>
        </w:rPr>
        <w:t>latest tax legislation dealing with a specific Code section, the regulations are no longer effective to the extent they conflict with the provisions in the new legislation.</w:t>
      </w:r>
    </w:p>
    <w:p w14:paraId="6E7F9A9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Legislative regulations are more likely to be invalidated by the courts than are</w:t>
      </w:r>
      <w:r w:rsidRPr="0025534A">
        <w:rPr>
          <w:rFonts w:ascii="Palatino Linotype" w:hAnsi="Palatino Linotype" w:cs="Palatino Linotype"/>
          <w:sz w:val="20"/>
          <w:szCs w:val="20"/>
        </w:rPr>
        <w:t xml:space="preserve"> interpretative regulations.</w:t>
      </w:r>
    </w:p>
    <w:p w14:paraId="305A818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Regulations have more authoritative weight than tax statutes.</w:t>
      </w:r>
    </w:p>
    <w:p w14:paraId="1B27D67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All of the above are false.</w:t>
      </w:r>
    </w:p>
    <w:p w14:paraId="625B2C1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5EB7ED5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Because of frequent IRC changes, the Treasury Department does not always update the regulations in a timel</w:t>
      </w:r>
      <w:r w:rsidRPr="0025534A">
        <w:rPr>
          <w:rFonts w:ascii="Palatino Linotype" w:hAnsi="Palatino Linotype" w:cs="Palatino Linotype"/>
          <w:sz w:val="20"/>
          <w:szCs w:val="20"/>
        </w:rPr>
        <w:t>y manner. Consequently, when consulting a regulation, a tax advisor should check its introductory or end note to determine when the regulation was adopted. If the regulation was adopted before the most recent revision of the applicable IRC section, the reg</w:t>
      </w:r>
      <w:r w:rsidRPr="0025534A">
        <w:rPr>
          <w:rFonts w:ascii="Palatino Linotype" w:hAnsi="Palatino Linotype" w:cs="Palatino Linotype"/>
          <w:sz w:val="20"/>
          <w:szCs w:val="20"/>
        </w:rPr>
        <w:t>ulation should be treated as authoritative to the extent consistent with the revision. Thus, for example, if a regulation issued before the passage of an IRC amendment specifies a dollar amount, and the amendment changed the dollar amount, the regulation s</w:t>
      </w:r>
      <w:r w:rsidRPr="0025534A">
        <w:rPr>
          <w:rFonts w:ascii="Palatino Linotype" w:hAnsi="Palatino Linotype" w:cs="Palatino Linotype"/>
          <w:sz w:val="20"/>
          <w:szCs w:val="20"/>
        </w:rPr>
        <w:t>hould be regarded as authoritative in all respects except for the dollar amount.</w:t>
      </w:r>
    </w:p>
    <w:p w14:paraId="5118DACD"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C:1-9</w:t>
      </w:r>
    </w:p>
    <w:p w14:paraId="418ECD2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1E61337A" w14:textId="77777777" w:rsidR="00000000" w:rsidRPr="0025534A" w:rsidRDefault="000B70A6">
      <w:pPr>
        <w:pStyle w:val="NormalText"/>
        <w:rPr>
          <w:rFonts w:ascii="Palatino Linotype" w:hAnsi="Palatino Linotype"/>
          <w:sz w:val="20"/>
          <w:szCs w:val="20"/>
        </w:rPr>
      </w:pPr>
    </w:p>
    <w:p w14:paraId="1EA008CE"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2008ECA" w14:textId="51E378D9"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27) Identify which of the following statements is </w:t>
      </w:r>
      <w:r w:rsidRPr="0025534A">
        <w:rPr>
          <w:rFonts w:ascii="Palatino Linotype" w:hAnsi="Palatino Linotype" w:cs="Palatino Linotype"/>
          <w:sz w:val="20"/>
          <w:szCs w:val="20"/>
          <w:u w:val="single"/>
        </w:rPr>
        <w:t>false</w:t>
      </w:r>
      <w:r w:rsidRPr="0025534A">
        <w:rPr>
          <w:rFonts w:ascii="Palatino Linotype" w:hAnsi="Palatino Linotype" w:cs="Palatino Linotype"/>
          <w:sz w:val="20"/>
          <w:szCs w:val="20"/>
        </w:rPr>
        <w:t>.</w:t>
      </w:r>
    </w:p>
    <w:p w14:paraId="3A72891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The number "5" in the citation Reg. Sec. 1.166-5 refers to the paragraph number.</w:t>
      </w:r>
    </w:p>
    <w:p w14:paraId="5702098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w:t>
      </w:r>
      <w:r w:rsidRPr="0025534A">
        <w:rPr>
          <w:rFonts w:ascii="Palatino Linotype" w:hAnsi="Palatino Linotype" w:cs="Palatino Linotype"/>
          <w:sz w:val="20"/>
          <w:szCs w:val="20"/>
        </w:rPr>
        <w:t xml:space="preserve">) The </w:t>
      </w:r>
      <w:r w:rsidRPr="0025534A">
        <w:rPr>
          <w:rFonts w:ascii="Palatino Linotype" w:hAnsi="Palatino Linotype" w:cs="Palatino Linotype"/>
          <w:sz w:val="20"/>
          <w:szCs w:val="20"/>
          <w:u w:val="single"/>
        </w:rPr>
        <w:t>Cumulative Bulletin</w:t>
      </w:r>
      <w:r w:rsidRPr="0025534A">
        <w:rPr>
          <w:rFonts w:ascii="Palatino Linotype" w:hAnsi="Palatino Linotype" w:cs="Palatino Linotype"/>
          <w:sz w:val="20"/>
          <w:szCs w:val="20"/>
        </w:rPr>
        <w:t xml:space="preserve"> is issued semiannually while the </w:t>
      </w:r>
      <w:r w:rsidRPr="0025534A">
        <w:rPr>
          <w:rFonts w:ascii="Palatino Linotype" w:hAnsi="Palatino Linotype" w:cs="Palatino Linotype"/>
          <w:sz w:val="20"/>
          <w:szCs w:val="20"/>
          <w:u w:val="single"/>
        </w:rPr>
        <w:t>Internal Revenue Bulletin</w:t>
      </w:r>
      <w:r w:rsidRPr="0025534A">
        <w:rPr>
          <w:rFonts w:ascii="Palatino Linotype" w:hAnsi="Palatino Linotype" w:cs="Palatino Linotype"/>
          <w:sz w:val="20"/>
          <w:szCs w:val="20"/>
        </w:rPr>
        <w:t xml:space="preserve"> is issued weekly.</w:t>
      </w:r>
    </w:p>
    <w:p w14:paraId="04354A0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citation Rev. Rul. 2006-5, I.R.B. 2006-1, 33, indicates that the revenue ruling can be found on page 33 of the 1st I.R.B. for 2006.</w:t>
      </w:r>
    </w:p>
    <w:p w14:paraId="0B65C64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D) All of the </w:t>
      </w:r>
      <w:r w:rsidRPr="0025534A">
        <w:rPr>
          <w:rFonts w:ascii="Palatino Linotype" w:hAnsi="Palatino Linotype" w:cs="Palatino Linotype"/>
          <w:sz w:val="20"/>
          <w:szCs w:val="20"/>
        </w:rPr>
        <w:t>above are false.</w:t>
      </w:r>
    </w:p>
    <w:p w14:paraId="5A74ACE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4919A6E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#5 references the fifth regulation of IRC 166. </w:t>
      </w:r>
    </w:p>
    <w:p w14:paraId="7823EFD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C:1-11</w:t>
      </w:r>
    </w:p>
    <w:p w14:paraId="15B4C66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532B1E6D" w14:textId="77777777" w:rsidR="00000000" w:rsidRPr="0025534A" w:rsidRDefault="000B70A6">
      <w:pPr>
        <w:pStyle w:val="NormalText"/>
        <w:rPr>
          <w:rFonts w:ascii="Palatino Linotype" w:hAnsi="Palatino Linotype"/>
          <w:sz w:val="20"/>
          <w:szCs w:val="20"/>
        </w:rPr>
      </w:pPr>
    </w:p>
    <w:p w14:paraId="383B155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28) The number appearing immediately following the decimal place in a regulation citation refers to the</w:t>
      </w:r>
    </w:p>
    <w:p w14:paraId="4DAF5B7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general subject matter of</w:t>
      </w:r>
      <w:r w:rsidRPr="0025534A">
        <w:rPr>
          <w:rFonts w:ascii="Palatino Linotype" w:hAnsi="Palatino Linotype" w:cs="Palatino Linotype"/>
          <w:sz w:val="20"/>
          <w:szCs w:val="20"/>
        </w:rPr>
        <w:t xml:space="preserve"> the regulation.</w:t>
      </w:r>
    </w:p>
    <w:p w14:paraId="5B55A7E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Code section being interpreted.</w:t>
      </w:r>
    </w:p>
    <w:p w14:paraId="0017D69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sequential number of the regulation.</w:t>
      </w:r>
    </w:p>
    <w:p w14:paraId="2D9007C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subsection of the Code section being interpreted.</w:t>
      </w:r>
    </w:p>
    <w:p w14:paraId="0986CAC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131E6DA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w:t>
      </w:r>
      <w:r w:rsidRPr="0025534A">
        <w:rPr>
          <w:rFonts w:ascii="Palatino Linotype" w:hAnsi="Palatino Linotype" w:cs="Palatino Linotype"/>
          <w:sz w:val="20"/>
          <w:szCs w:val="20"/>
        </w:rPr>
        <w:t>The number appearing after decimal refers to code section.</w:t>
      </w:r>
    </w:p>
    <w:p w14:paraId="1161FB2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C:1-11</w:t>
      </w:r>
    </w:p>
    <w:p w14:paraId="76EC222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5BE784CA" w14:textId="77777777" w:rsidR="00000000" w:rsidRPr="0025534A" w:rsidRDefault="000B70A6">
      <w:pPr>
        <w:pStyle w:val="NormalText"/>
        <w:rPr>
          <w:rFonts w:ascii="Palatino Linotype" w:hAnsi="Palatino Linotype"/>
          <w:sz w:val="20"/>
          <w:szCs w:val="20"/>
        </w:rPr>
      </w:pPr>
    </w:p>
    <w:p w14:paraId="5BDE2A0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29) The citation "Reg. Sec. 1.199-2" refers to</w:t>
      </w:r>
    </w:p>
    <w:p w14:paraId="74FE1C1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the first regulation issued in 1999.</w:t>
      </w:r>
    </w:p>
    <w:p w14:paraId="5387786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second regulation issued in 1999.</w:t>
      </w:r>
    </w:p>
    <w:p w14:paraId="0F22616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a regulation that interprets Cod</w:t>
      </w:r>
      <w:r w:rsidRPr="0025534A">
        <w:rPr>
          <w:rFonts w:ascii="Palatino Linotype" w:hAnsi="Palatino Linotype" w:cs="Palatino Linotype"/>
          <w:sz w:val="20"/>
          <w:szCs w:val="20"/>
        </w:rPr>
        <w:t>e Section 199.</w:t>
      </w:r>
    </w:p>
    <w:p w14:paraId="35008F4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 regulation that can be found on page 199.</w:t>
      </w:r>
    </w:p>
    <w:p w14:paraId="71857A3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28AEB7F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Number appearing after decimal refers to code section.</w:t>
      </w:r>
    </w:p>
    <w:p w14:paraId="51D4883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C:1-11</w:t>
      </w:r>
    </w:p>
    <w:p w14:paraId="617AD87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40CEF3F8" w14:textId="77777777" w:rsidR="00000000" w:rsidRPr="0025534A" w:rsidRDefault="000B70A6">
      <w:pPr>
        <w:pStyle w:val="NormalText"/>
        <w:rPr>
          <w:rFonts w:ascii="Palatino Linotype" w:hAnsi="Palatino Linotype"/>
          <w:sz w:val="20"/>
          <w:szCs w:val="20"/>
        </w:rPr>
      </w:pPr>
    </w:p>
    <w:p w14:paraId="5E72476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30) Which regulation deals with Code Section 165?</w:t>
      </w:r>
    </w:p>
    <w:p w14:paraId="612A6A9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Reg. Sec. 1.165-5</w:t>
      </w:r>
    </w:p>
    <w:p w14:paraId="334764A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Reg. S</w:t>
      </w:r>
      <w:r w:rsidRPr="0025534A">
        <w:rPr>
          <w:rFonts w:ascii="Palatino Linotype" w:hAnsi="Palatino Linotype" w:cs="Palatino Linotype"/>
          <w:sz w:val="20"/>
          <w:szCs w:val="20"/>
        </w:rPr>
        <w:t>ec. 165.183-5</w:t>
      </w:r>
    </w:p>
    <w:p w14:paraId="54EDB0B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Reg. Sec. 1.5-165</w:t>
      </w:r>
    </w:p>
    <w:p w14:paraId="3DA21A7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Reg. Sec. 165-5</w:t>
      </w:r>
    </w:p>
    <w:p w14:paraId="0EDE8FA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0B3A425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Number appearing after decimal refers to code section.</w:t>
      </w:r>
    </w:p>
    <w:p w14:paraId="550F54A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C:1-11</w:t>
      </w:r>
    </w:p>
    <w:p w14:paraId="482E5C3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5954908" w14:textId="77777777" w:rsidR="00000000" w:rsidRPr="0025534A" w:rsidRDefault="000B70A6">
      <w:pPr>
        <w:pStyle w:val="NormalText"/>
        <w:rPr>
          <w:rFonts w:ascii="Palatino Linotype" w:hAnsi="Palatino Linotype"/>
          <w:sz w:val="20"/>
          <w:szCs w:val="20"/>
        </w:rPr>
      </w:pPr>
    </w:p>
    <w:p w14:paraId="1F6E4F77"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B1F8C93" w14:textId="7C7E96DB"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31) Which regulation deals with the gift tax?</w:t>
      </w:r>
    </w:p>
    <w:p w14:paraId="4460C6F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Reg. Sec. 1.165-5</w:t>
      </w:r>
    </w:p>
    <w:p w14:paraId="4FBE746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Reg. Sec. 20.2014-</w:t>
      </w:r>
      <w:r w:rsidRPr="0025534A">
        <w:rPr>
          <w:rFonts w:ascii="Palatino Linotype" w:hAnsi="Palatino Linotype" w:cs="Palatino Linotype"/>
          <w:sz w:val="20"/>
          <w:szCs w:val="20"/>
        </w:rPr>
        <w:t>5</w:t>
      </w:r>
    </w:p>
    <w:p w14:paraId="5883AE5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Reg. Sec. 25.2518-5</w:t>
      </w:r>
    </w:p>
    <w:p w14:paraId="4EC4182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Reg. Sec. 301.7002-5</w:t>
      </w:r>
    </w:p>
    <w:p w14:paraId="53E01E4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57F6A93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Code section 2518 is a gift tax matter.</w:t>
      </w:r>
    </w:p>
    <w:p w14:paraId="2CC7776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C:1-11</w:t>
      </w:r>
    </w:p>
    <w:p w14:paraId="7B3BA57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A48CA23" w14:textId="77777777" w:rsidR="00000000" w:rsidRPr="0025534A" w:rsidRDefault="000B70A6">
      <w:pPr>
        <w:pStyle w:val="NormalText"/>
        <w:rPr>
          <w:rFonts w:ascii="Palatino Linotype" w:hAnsi="Palatino Linotype"/>
          <w:sz w:val="20"/>
          <w:szCs w:val="20"/>
        </w:rPr>
      </w:pPr>
    </w:p>
    <w:p w14:paraId="157F61D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32) </w:t>
      </w:r>
      <w:r w:rsidRPr="0025534A">
        <w:rPr>
          <w:rFonts w:ascii="Palatino Linotype" w:hAnsi="Palatino Linotype" w:cs="Palatino Linotype"/>
          <w:sz w:val="20"/>
          <w:szCs w:val="20"/>
        </w:rPr>
        <w:t>Which of the following best describes the weight of a revenue ruling?</w:t>
      </w:r>
    </w:p>
    <w:p w14:paraId="52D8D5E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Revenue rulings carry more weight than regulations.</w:t>
      </w:r>
    </w:p>
    <w:p w14:paraId="63941C7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Revenue rulings carry more weight than federal court decisions.</w:t>
      </w:r>
    </w:p>
    <w:p w14:paraId="44142D7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Regulations carry more weight than revenue rulings.</w:t>
      </w:r>
    </w:p>
    <w:p w14:paraId="5520DED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Revenu</w:t>
      </w:r>
      <w:r w:rsidRPr="0025534A">
        <w:rPr>
          <w:rFonts w:ascii="Palatino Linotype" w:hAnsi="Palatino Linotype" w:cs="Palatino Linotype"/>
          <w:sz w:val="20"/>
          <w:szCs w:val="20"/>
        </w:rPr>
        <w:t>e rulings should never be used as authority since they only apply to the taxpayer requesting the ruling.</w:t>
      </w:r>
    </w:p>
    <w:p w14:paraId="6912735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03DFAD2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Regulations carry more weight than revenue rulings.</w:t>
      </w:r>
    </w:p>
    <w:p w14:paraId="3702246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C:1-12</w:t>
      </w:r>
    </w:p>
    <w:p w14:paraId="683C6E7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7165E720" w14:textId="77777777" w:rsidR="00000000" w:rsidRPr="0025534A" w:rsidRDefault="000B70A6">
      <w:pPr>
        <w:pStyle w:val="NormalText"/>
        <w:rPr>
          <w:rFonts w:ascii="Palatino Linotype" w:hAnsi="Palatino Linotype"/>
          <w:sz w:val="20"/>
          <w:szCs w:val="20"/>
        </w:rPr>
      </w:pPr>
    </w:p>
    <w:p w14:paraId="6D609D0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33) The citation "Rev. Rul. 2006-8, 2006</w:t>
      </w:r>
      <w:r w:rsidRPr="0025534A">
        <w:rPr>
          <w:rFonts w:ascii="Palatino Linotype" w:hAnsi="Palatino Linotype" w:cs="Palatino Linotype"/>
          <w:sz w:val="20"/>
          <w:szCs w:val="20"/>
        </w:rPr>
        <w:t>-1 C.B. 541" refers to</w:t>
      </w:r>
    </w:p>
    <w:p w14:paraId="2E75E14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the eighth ruling of 2006 found on page 541 in Vol. 1 of the 2006 </w:t>
      </w:r>
      <w:r w:rsidRPr="0025534A">
        <w:rPr>
          <w:rFonts w:ascii="Palatino Linotype" w:hAnsi="Palatino Linotype" w:cs="Palatino Linotype"/>
          <w:sz w:val="20"/>
          <w:szCs w:val="20"/>
          <w:u w:val="single"/>
        </w:rPr>
        <w:t>Cumulative Bulletin</w:t>
      </w:r>
      <w:r w:rsidRPr="0025534A">
        <w:rPr>
          <w:rFonts w:ascii="Palatino Linotype" w:hAnsi="Palatino Linotype" w:cs="Palatino Linotype"/>
          <w:sz w:val="20"/>
          <w:szCs w:val="20"/>
        </w:rPr>
        <w:t>.</w:t>
      </w:r>
    </w:p>
    <w:p w14:paraId="7B4F32E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B) the eighth ruling of 2006 found on page 541 in the 2006 volume of the </w:t>
      </w:r>
      <w:r w:rsidRPr="0025534A">
        <w:rPr>
          <w:rFonts w:ascii="Palatino Linotype" w:hAnsi="Palatino Linotype" w:cs="Palatino Linotype"/>
          <w:sz w:val="20"/>
          <w:szCs w:val="20"/>
          <w:u w:val="single"/>
        </w:rPr>
        <w:t>Cumulative Bulletin</w:t>
      </w:r>
      <w:r w:rsidRPr="0025534A">
        <w:rPr>
          <w:rFonts w:ascii="Palatino Linotype" w:hAnsi="Palatino Linotype" w:cs="Palatino Linotype"/>
          <w:sz w:val="20"/>
          <w:szCs w:val="20"/>
        </w:rPr>
        <w:t>.</w:t>
      </w:r>
    </w:p>
    <w:p w14:paraId="285FF1C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541st ruling of 2006 found on page eight i</w:t>
      </w:r>
      <w:r w:rsidRPr="0025534A">
        <w:rPr>
          <w:rFonts w:ascii="Palatino Linotype" w:hAnsi="Palatino Linotype" w:cs="Palatino Linotype"/>
          <w:sz w:val="20"/>
          <w:szCs w:val="20"/>
        </w:rPr>
        <w:t xml:space="preserve">n Vol. 1 of the 2006 </w:t>
      </w:r>
      <w:r w:rsidRPr="0025534A">
        <w:rPr>
          <w:rFonts w:ascii="Palatino Linotype" w:hAnsi="Palatino Linotype" w:cs="Palatino Linotype"/>
          <w:sz w:val="20"/>
          <w:szCs w:val="20"/>
          <w:u w:val="single"/>
        </w:rPr>
        <w:t>Cumulative Bulletin</w:t>
      </w:r>
      <w:r w:rsidRPr="0025534A">
        <w:rPr>
          <w:rFonts w:ascii="Palatino Linotype" w:hAnsi="Palatino Linotype" w:cs="Palatino Linotype"/>
          <w:sz w:val="20"/>
          <w:szCs w:val="20"/>
        </w:rPr>
        <w:t>.</w:t>
      </w:r>
    </w:p>
    <w:p w14:paraId="03CA311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D) the 1st ruling of 2006 found on page 541 in the 2006 volume of the </w:t>
      </w:r>
      <w:r w:rsidRPr="0025534A">
        <w:rPr>
          <w:rFonts w:ascii="Palatino Linotype" w:hAnsi="Palatino Linotype" w:cs="Palatino Linotype"/>
          <w:sz w:val="20"/>
          <w:szCs w:val="20"/>
          <w:u w:val="single"/>
        </w:rPr>
        <w:t>Cumulative Bulletin</w:t>
      </w:r>
      <w:r w:rsidRPr="0025534A">
        <w:rPr>
          <w:rFonts w:ascii="Palatino Linotype" w:hAnsi="Palatino Linotype" w:cs="Palatino Linotype"/>
          <w:sz w:val="20"/>
          <w:szCs w:val="20"/>
        </w:rPr>
        <w:t>.</w:t>
      </w:r>
    </w:p>
    <w:p w14:paraId="7EC9E6C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22A6DBE0" w14:textId="77777777" w:rsidR="00000000" w:rsidRPr="0025534A" w:rsidRDefault="000B70A6">
      <w:pPr>
        <w:pStyle w:val="NormalText"/>
        <w:rPr>
          <w:rFonts w:ascii="Palatino Linotype" w:hAnsi="Palatino Linotype" w:cs="Palatino Linotype"/>
          <w:sz w:val="20"/>
          <w:szCs w:val="20"/>
          <w:u w:val="single"/>
        </w:rPr>
      </w:pPr>
      <w:r w:rsidRPr="0025534A">
        <w:rPr>
          <w:rFonts w:ascii="Palatino Linotype" w:hAnsi="Palatino Linotype" w:cs="Palatino Linotype"/>
          <w:sz w:val="20"/>
          <w:szCs w:val="20"/>
        </w:rPr>
        <w:t xml:space="preserve">Explanation:  This is the 8th ruling of 2006, it appears on page 541 of Volume 1 of the 2006 </w:t>
      </w:r>
      <w:r w:rsidRPr="0025534A">
        <w:rPr>
          <w:rFonts w:ascii="Palatino Linotype" w:hAnsi="Palatino Linotype" w:cs="Palatino Linotype"/>
          <w:sz w:val="20"/>
          <w:szCs w:val="20"/>
          <w:u w:val="single"/>
        </w:rPr>
        <w:t>Cumulative Bulletin</w:t>
      </w:r>
    </w:p>
    <w:p w14:paraId="764DDEC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C:1-12</w:t>
      </w:r>
    </w:p>
    <w:p w14:paraId="2468D0FD"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64263913" w14:textId="77777777" w:rsidR="00000000" w:rsidRPr="0025534A" w:rsidRDefault="000B70A6">
      <w:pPr>
        <w:pStyle w:val="NormalText"/>
        <w:rPr>
          <w:rFonts w:ascii="Palatino Linotype" w:hAnsi="Palatino Linotype"/>
          <w:sz w:val="20"/>
          <w:szCs w:val="20"/>
        </w:rPr>
      </w:pPr>
    </w:p>
    <w:p w14:paraId="29686C7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34) Which of the following documents is issued by the IRS to a specific taxpayer?</w:t>
      </w:r>
    </w:p>
    <w:p w14:paraId="2615CD8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regulation</w:t>
      </w:r>
    </w:p>
    <w:p w14:paraId="2D7B562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revenue procedure</w:t>
      </w:r>
    </w:p>
    <w:p w14:paraId="6FA56F1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letter ruling</w:t>
      </w:r>
    </w:p>
    <w:p w14:paraId="38A3731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information release</w:t>
      </w:r>
    </w:p>
    <w:p w14:paraId="7181FF2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2326934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w:t>
      </w:r>
      <w:r w:rsidRPr="0025534A">
        <w:rPr>
          <w:rFonts w:ascii="Palatino Linotype" w:hAnsi="Palatino Linotype" w:cs="Palatino Linotype"/>
          <w:sz w:val="20"/>
          <w:szCs w:val="20"/>
        </w:rPr>
        <w:t>Letter rulings are addressed to specific taxpayer.</w:t>
      </w:r>
    </w:p>
    <w:p w14:paraId="19ECB41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C:1-12</w:t>
      </w:r>
    </w:p>
    <w:p w14:paraId="28C5405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241A0EC" w14:textId="77777777" w:rsidR="00000000" w:rsidRPr="0025534A" w:rsidRDefault="000B70A6">
      <w:pPr>
        <w:pStyle w:val="NormalText"/>
        <w:rPr>
          <w:rFonts w:ascii="Palatino Linotype" w:hAnsi="Palatino Linotype"/>
          <w:sz w:val="20"/>
          <w:szCs w:val="20"/>
        </w:rPr>
      </w:pPr>
    </w:p>
    <w:p w14:paraId="0CBA5C4A"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AC73F60" w14:textId="65EB3E1A"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35) Identify which of the following statements is </w:t>
      </w:r>
      <w:r w:rsidRPr="0025534A">
        <w:rPr>
          <w:rFonts w:ascii="Palatino Linotype" w:hAnsi="Palatino Linotype" w:cs="Palatino Linotype"/>
          <w:sz w:val="20"/>
          <w:szCs w:val="20"/>
          <w:u w:val="single"/>
        </w:rPr>
        <w:t>false</w:t>
      </w:r>
      <w:r w:rsidRPr="0025534A">
        <w:rPr>
          <w:rFonts w:ascii="Palatino Linotype" w:hAnsi="Palatino Linotype" w:cs="Palatino Linotype"/>
          <w:sz w:val="20"/>
          <w:szCs w:val="20"/>
        </w:rPr>
        <w:t>.</w:t>
      </w:r>
    </w:p>
    <w:p w14:paraId="68D6FDD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A revenue ruling is issued by the Internal Revenue Service only in response to a written inquiry by a taxpayer.</w:t>
      </w:r>
    </w:p>
    <w:p w14:paraId="1AD53B9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Rev. Proc. 2006-19 is a revenue procedure that was published in 2006.</w:t>
      </w:r>
    </w:p>
    <w:p w14:paraId="015C97F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citation Ltr. Rul. 200611075 usually indicates the ruling was made public in the 11th week of 2006.</w:t>
      </w:r>
    </w:p>
    <w:p w14:paraId="583F368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 technical advice memorandum is made available as a letter ruling.</w:t>
      </w:r>
    </w:p>
    <w:p w14:paraId="0C1B915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w:t>
      </w:r>
      <w:r w:rsidRPr="0025534A">
        <w:rPr>
          <w:rFonts w:ascii="Palatino Linotype" w:hAnsi="Palatino Linotype" w:cs="Palatino Linotype"/>
          <w:sz w:val="20"/>
          <w:szCs w:val="20"/>
        </w:rPr>
        <w:t>er:  A</w:t>
      </w:r>
    </w:p>
    <w:p w14:paraId="18A29F2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Letter rulings are only issued in response to written taxpayer request.</w:t>
      </w:r>
    </w:p>
    <w:p w14:paraId="31C1578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C:1-11 through C:1-13</w:t>
      </w:r>
    </w:p>
    <w:p w14:paraId="6147387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44D50EC" w14:textId="77777777" w:rsidR="00000000" w:rsidRPr="0025534A" w:rsidRDefault="000B70A6">
      <w:pPr>
        <w:pStyle w:val="NormalText"/>
        <w:rPr>
          <w:rFonts w:ascii="Palatino Linotype" w:hAnsi="Palatino Linotype"/>
          <w:sz w:val="20"/>
          <w:szCs w:val="20"/>
        </w:rPr>
      </w:pPr>
    </w:p>
    <w:p w14:paraId="2526299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36) Identify which of the following statements is </w:t>
      </w:r>
      <w:r w:rsidRPr="0025534A">
        <w:rPr>
          <w:rFonts w:ascii="Palatino Linotype" w:hAnsi="Palatino Linotype" w:cs="Palatino Linotype"/>
          <w:sz w:val="20"/>
          <w:szCs w:val="20"/>
          <w:u w:val="single"/>
        </w:rPr>
        <w:t>false</w:t>
      </w:r>
      <w:r w:rsidRPr="0025534A">
        <w:rPr>
          <w:rFonts w:ascii="Palatino Linotype" w:hAnsi="Palatino Linotype" w:cs="Palatino Linotype"/>
          <w:sz w:val="20"/>
          <w:szCs w:val="20"/>
        </w:rPr>
        <w:t>.</w:t>
      </w:r>
    </w:p>
    <w:p w14:paraId="4416D7C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Letter rulings are not published by the U.S. Governmen</w:t>
      </w:r>
      <w:r w:rsidRPr="0025534A">
        <w:rPr>
          <w:rFonts w:ascii="Palatino Linotype" w:hAnsi="Palatino Linotype" w:cs="Palatino Linotype"/>
          <w:sz w:val="20"/>
          <w:szCs w:val="20"/>
        </w:rPr>
        <w:t>t Printing Office.</w:t>
      </w:r>
    </w:p>
    <w:p w14:paraId="3B61D20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Technical advice memoranda are issued by the Internal Revenue Service's National Office to provide an answer to a technical question that arises in an audit.</w:t>
      </w:r>
    </w:p>
    <w:p w14:paraId="32C3285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The citation Ann. 2006-12, I.R.B. 2006-51, 22 refers to an annotation of </w:t>
      </w:r>
      <w:r w:rsidRPr="0025534A">
        <w:rPr>
          <w:rFonts w:ascii="Palatino Linotype" w:hAnsi="Palatino Linotype" w:cs="Palatino Linotype"/>
          <w:sz w:val="20"/>
          <w:szCs w:val="20"/>
        </w:rPr>
        <w:t>an Internal Revenue Service release.</w:t>
      </w:r>
    </w:p>
    <w:p w14:paraId="03F05F1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Announcements are more technical than information releases.</w:t>
      </w:r>
    </w:p>
    <w:p w14:paraId="377DA18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69AA37D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Citation references Announcement not Annotation.</w:t>
      </w:r>
    </w:p>
    <w:p w14:paraId="422C383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C:1-13</w:t>
      </w:r>
    </w:p>
    <w:p w14:paraId="3575C0B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170114B" w14:textId="77777777" w:rsidR="00000000" w:rsidRPr="0025534A" w:rsidRDefault="000B70A6">
      <w:pPr>
        <w:pStyle w:val="NormalText"/>
        <w:rPr>
          <w:rFonts w:ascii="Palatino Linotype" w:hAnsi="Palatino Linotype"/>
          <w:sz w:val="20"/>
          <w:szCs w:val="20"/>
        </w:rPr>
      </w:pPr>
    </w:p>
    <w:p w14:paraId="43541CA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37) </w:t>
      </w:r>
      <w:r w:rsidRPr="0025534A">
        <w:rPr>
          <w:rFonts w:ascii="Palatino Linotype" w:hAnsi="Palatino Linotype" w:cs="Palatino Linotype"/>
          <w:sz w:val="20"/>
          <w:szCs w:val="20"/>
        </w:rPr>
        <w:t>A Technical Advice Memorandum is usually</w:t>
      </w:r>
    </w:p>
    <w:p w14:paraId="0CDCD5B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an internal IRS document describing alternative legislative proposals.</w:t>
      </w:r>
    </w:p>
    <w:p w14:paraId="0EFEB92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part of a Tax Court decision.</w:t>
      </w:r>
    </w:p>
    <w:p w14:paraId="5D10C19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w:t>
      </w:r>
      <w:r w:rsidRPr="0025534A">
        <w:rPr>
          <w:rFonts w:ascii="Palatino Linotype" w:hAnsi="Palatino Linotype" w:cs="Palatino Linotype"/>
          <w:sz w:val="20"/>
          <w:szCs w:val="20"/>
        </w:rPr>
        <w:t>requested by the taxpayer before entering into a taxable transaction.</w:t>
      </w:r>
    </w:p>
    <w:p w14:paraId="66DF83D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issued by the national office in response to an audit request.</w:t>
      </w:r>
    </w:p>
    <w:p w14:paraId="27D19B9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2F4B749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TAMs are usually issued to address request from IRS auditors.</w:t>
      </w:r>
    </w:p>
    <w:p w14:paraId="7CC53C5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C:1-13</w:t>
      </w:r>
    </w:p>
    <w:p w14:paraId="35A8D43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8E2DABD" w14:textId="77777777" w:rsidR="00000000" w:rsidRPr="0025534A" w:rsidRDefault="000B70A6">
      <w:pPr>
        <w:pStyle w:val="NormalText"/>
        <w:rPr>
          <w:rFonts w:ascii="Palatino Linotype" w:hAnsi="Palatino Linotype"/>
          <w:sz w:val="20"/>
          <w:szCs w:val="20"/>
        </w:rPr>
      </w:pPr>
    </w:p>
    <w:p w14:paraId="21EE4F7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38) Which of the following courts is </w:t>
      </w:r>
      <w:r w:rsidRPr="0025534A">
        <w:rPr>
          <w:rFonts w:ascii="Palatino Linotype" w:hAnsi="Palatino Linotype" w:cs="Palatino Linotype"/>
          <w:sz w:val="20"/>
          <w:szCs w:val="20"/>
          <w:u w:val="single"/>
        </w:rPr>
        <w:t>not</w:t>
      </w:r>
      <w:r w:rsidRPr="0025534A">
        <w:rPr>
          <w:rFonts w:ascii="Palatino Linotype" w:hAnsi="Palatino Linotype" w:cs="Palatino Linotype"/>
          <w:sz w:val="20"/>
          <w:szCs w:val="20"/>
        </w:rPr>
        <w:t xml:space="preserve"> a trial court for tax cases?</w:t>
      </w:r>
    </w:p>
    <w:p w14:paraId="4E6A602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U.S. Bankruptcy Court</w:t>
      </w:r>
    </w:p>
    <w:p w14:paraId="61F81B5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U.S. District Court</w:t>
      </w:r>
    </w:p>
    <w:p w14:paraId="063E1B5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U.S. Tax Court</w:t>
      </w:r>
    </w:p>
    <w:p w14:paraId="17ABDC0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U.S. Court of Federal Claims</w:t>
      </w:r>
    </w:p>
    <w:p w14:paraId="3724E95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1E1763B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Bankruptcy Court does not have jurisdiction for tax matters.</w:t>
      </w:r>
    </w:p>
    <w:p w14:paraId="0258A85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w:t>
      </w:r>
      <w:r w:rsidRPr="0025534A">
        <w:rPr>
          <w:rFonts w:ascii="Palatino Linotype" w:hAnsi="Palatino Linotype"/>
          <w:sz w:val="20"/>
          <w:szCs w:val="20"/>
        </w:rPr>
        <w:t>age Ref.:  C:1-14 and C:1-15</w:t>
      </w:r>
    </w:p>
    <w:p w14:paraId="1E3FC59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F8AEDA0" w14:textId="77777777" w:rsidR="00000000" w:rsidRPr="0025534A" w:rsidRDefault="000B70A6">
      <w:pPr>
        <w:pStyle w:val="NormalText"/>
        <w:rPr>
          <w:rFonts w:ascii="Palatino Linotype" w:hAnsi="Palatino Linotype"/>
          <w:sz w:val="20"/>
          <w:szCs w:val="20"/>
        </w:rPr>
      </w:pPr>
    </w:p>
    <w:p w14:paraId="3623D4A0"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FCAC21A" w14:textId="64734B7D"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39) The taxpayer need </w:t>
      </w:r>
      <w:r w:rsidRPr="0025534A">
        <w:rPr>
          <w:rFonts w:ascii="Palatino Linotype" w:hAnsi="Palatino Linotype" w:cs="Palatino Linotype"/>
          <w:sz w:val="20"/>
          <w:szCs w:val="20"/>
          <w:u w:val="single"/>
        </w:rPr>
        <w:t>not</w:t>
      </w:r>
      <w:r w:rsidRPr="0025534A">
        <w:rPr>
          <w:rFonts w:ascii="Palatino Linotype" w:hAnsi="Palatino Linotype" w:cs="Palatino Linotype"/>
          <w:sz w:val="20"/>
          <w:szCs w:val="20"/>
        </w:rPr>
        <w:t xml:space="preserve"> pay the disputed tax in advance when the suit is initiated in</w:t>
      </w:r>
    </w:p>
    <w:p w14:paraId="00855B6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U.S. Court of Federal Claims.</w:t>
      </w:r>
    </w:p>
    <w:p w14:paraId="170F5C5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U.S. Tax Court.</w:t>
      </w:r>
    </w:p>
    <w:p w14:paraId="4356A07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U.S. District Court.</w:t>
      </w:r>
    </w:p>
    <w:p w14:paraId="6D55F9C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both A and B</w:t>
      </w:r>
    </w:p>
    <w:p w14:paraId="165C776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745C725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Tax Cou</w:t>
      </w:r>
      <w:r w:rsidRPr="0025534A">
        <w:rPr>
          <w:rFonts w:ascii="Palatino Linotype" w:hAnsi="Palatino Linotype" w:cs="Palatino Linotype"/>
          <w:sz w:val="20"/>
          <w:szCs w:val="20"/>
        </w:rPr>
        <w:t>rt taxpayer does not have to pay disputed amount up front.</w:t>
      </w:r>
    </w:p>
    <w:p w14:paraId="199A827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C:1-14 and C:1-15</w:t>
      </w:r>
    </w:p>
    <w:p w14:paraId="578BDE9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BE6BB51" w14:textId="77777777" w:rsidR="00000000" w:rsidRPr="0025534A" w:rsidRDefault="000B70A6">
      <w:pPr>
        <w:pStyle w:val="NormalText"/>
        <w:rPr>
          <w:rFonts w:ascii="Palatino Linotype" w:hAnsi="Palatino Linotype"/>
          <w:sz w:val="20"/>
          <w:szCs w:val="20"/>
        </w:rPr>
      </w:pPr>
    </w:p>
    <w:p w14:paraId="4DACED5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40) If the U.S. Supreme Court decides to hear an appeal of a tax case, it will grant a</w:t>
      </w:r>
    </w:p>
    <w:p w14:paraId="7E18FC9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writ of appeal.</w:t>
      </w:r>
    </w:p>
    <w:p w14:paraId="1F9E0CB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writ of certiorari.</w:t>
      </w:r>
    </w:p>
    <w:p w14:paraId="0D5B5BD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w:t>
      </w:r>
      <w:r w:rsidRPr="0025534A">
        <w:rPr>
          <w:rFonts w:ascii="Palatino Linotype" w:hAnsi="Palatino Linotype" w:cs="Palatino Linotype"/>
          <w:sz w:val="20"/>
          <w:szCs w:val="20"/>
        </w:rPr>
        <w:t>writ of detainer.</w:t>
      </w:r>
    </w:p>
    <w:p w14:paraId="04DF354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writ of habeas corpus.</w:t>
      </w:r>
    </w:p>
    <w:p w14:paraId="020AB28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6F702D4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Granting review by USSC is done via writ of certiorari.</w:t>
      </w:r>
    </w:p>
    <w:p w14:paraId="3D84D74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C:1-14 and C:1-15</w:t>
      </w:r>
    </w:p>
    <w:p w14:paraId="2C43A64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A4E78FD" w14:textId="77777777" w:rsidR="00000000" w:rsidRPr="0025534A" w:rsidRDefault="000B70A6">
      <w:pPr>
        <w:pStyle w:val="NormalText"/>
        <w:rPr>
          <w:rFonts w:ascii="Palatino Linotype" w:hAnsi="Palatino Linotype"/>
          <w:sz w:val="20"/>
          <w:szCs w:val="20"/>
        </w:rPr>
      </w:pPr>
    </w:p>
    <w:p w14:paraId="6F84462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41) Tax Court memorandum decisions</w:t>
      </w:r>
    </w:p>
    <w:p w14:paraId="4084CBA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cannot be appealed.</w:t>
      </w:r>
    </w:p>
    <w:p w14:paraId="4186364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are not published.</w:t>
      </w:r>
    </w:p>
    <w:p w14:paraId="54DC8BB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hav</w:t>
      </w:r>
      <w:r w:rsidRPr="0025534A">
        <w:rPr>
          <w:rFonts w:ascii="Palatino Linotype" w:hAnsi="Palatino Linotype" w:cs="Palatino Linotype"/>
          <w:sz w:val="20"/>
          <w:szCs w:val="20"/>
        </w:rPr>
        <w:t>e less precedential value than regular decisions.</w:t>
      </w:r>
    </w:p>
    <w:p w14:paraId="2BE7FFF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usually deal with factual variations of issues litigated previously.</w:t>
      </w:r>
    </w:p>
    <w:p w14:paraId="7E53411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5AF5804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Tax Court memos usually deal with factual variations of issues litigated previously.</w:t>
      </w:r>
    </w:p>
    <w:p w14:paraId="1745F03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C:1-15 and C</w:t>
      </w:r>
      <w:r w:rsidRPr="0025534A">
        <w:rPr>
          <w:rFonts w:ascii="Palatino Linotype" w:hAnsi="Palatino Linotype"/>
          <w:sz w:val="20"/>
          <w:szCs w:val="20"/>
        </w:rPr>
        <w:t>:1-17</w:t>
      </w:r>
    </w:p>
    <w:p w14:paraId="711C529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6698DC3E" w14:textId="77777777" w:rsidR="00000000" w:rsidRPr="0025534A" w:rsidRDefault="000B70A6">
      <w:pPr>
        <w:pStyle w:val="NormalText"/>
        <w:rPr>
          <w:rFonts w:ascii="Palatino Linotype" w:hAnsi="Palatino Linotype"/>
          <w:sz w:val="20"/>
          <w:szCs w:val="20"/>
        </w:rPr>
      </w:pPr>
    </w:p>
    <w:p w14:paraId="114626B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42) George's case was handled under the "small tax case procedure." He does not agree with the findings of the Tax Court. He would like to appeal the decision. Which one of the following is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w:t>
      </w:r>
    </w:p>
    <w:p w14:paraId="4B472AE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There is no appeal.</w:t>
      </w:r>
    </w:p>
    <w:p w14:paraId="0446525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He can appeal</w:t>
      </w:r>
      <w:r w:rsidRPr="0025534A">
        <w:rPr>
          <w:rFonts w:ascii="Palatino Linotype" w:hAnsi="Palatino Linotype" w:cs="Palatino Linotype"/>
          <w:sz w:val="20"/>
          <w:szCs w:val="20"/>
        </w:rPr>
        <w:t xml:space="preserve"> the case, but only if the amount of tax involved is greater than $5,000.</w:t>
      </w:r>
    </w:p>
    <w:p w14:paraId="18D091D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He would appeal first to the U.S. Court of Appeals for the Federal Circuit.</w:t>
      </w:r>
    </w:p>
    <w:p w14:paraId="1477C99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He would appeal first to the U.S. Court of Federal Claims.</w:t>
      </w:r>
    </w:p>
    <w:p w14:paraId="527D493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2B6EDF5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Small Tax Case d</w:t>
      </w:r>
      <w:r w:rsidRPr="0025534A">
        <w:rPr>
          <w:rFonts w:ascii="Palatino Linotype" w:hAnsi="Palatino Linotype" w:cs="Palatino Linotype"/>
          <w:sz w:val="20"/>
          <w:szCs w:val="20"/>
        </w:rPr>
        <w:t>o not allow appeal process.</w:t>
      </w:r>
    </w:p>
    <w:p w14:paraId="577B831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C:1-17</w:t>
      </w:r>
    </w:p>
    <w:p w14:paraId="386206AB"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3A68FC3" w14:textId="77777777" w:rsidR="00000000" w:rsidRPr="0025534A" w:rsidRDefault="000B70A6">
      <w:pPr>
        <w:pStyle w:val="NormalText"/>
        <w:rPr>
          <w:rFonts w:ascii="Palatino Linotype" w:hAnsi="Palatino Linotype"/>
          <w:sz w:val="20"/>
          <w:szCs w:val="20"/>
        </w:rPr>
      </w:pPr>
    </w:p>
    <w:p w14:paraId="0EC98495"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47E5E3D0" w14:textId="17A0CC4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43) Identify which of the following statements is </w:t>
      </w:r>
      <w:r w:rsidRPr="0025534A">
        <w:rPr>
          <w:rFonts w:ascii="Palatino Linotype" w:hAnsi="Palatino Linotype" w:cs="Palatino Linotype"/>
          <w:sz w:val="20"/>
          <w:szCs w:val="20"/>
          <w:u w:val="single"/>
        </w:rPr>
        <w:t>false</w:t>
      </w:r>
      <w:r w:rsidRPr="0025534A">
        <w:rPr>
          <w:rFonts w:ascii="Palatino Linotype" w:hAnsi="Palatino Linotype" w:cs="Palatino Linotype"/>
          <w:sz w:val="20"/>
          <w:szCs w:val="20"/>
        </w:rPr>
        <w:t>.</w:t>
      </w:r>
    </w:p>
    <w:p w14:paraId="5961705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w:t>
      </w:r>
      <w:r w:rsidRPr="0025534A">
        <w:rPr>
          <w:rFonts w:ascii="Palatino Linotype" w:hAnsi="Palatino Linotype" w:cs="Palatino Linotype"/>
          <w:sz w:val="20"/>
          <w:szCs w:val="20"/>
        </w:rPr>
        <w:t>The acquiescence policy was adopted by the U.S. Tax Court to permit litigating parties to agree on the exact amount of the tax due.</w:t>
      </w:r>
    </w:p>
    <w:p w14:paraId="0A1F81E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Letter rulings are binding only with respect to the taxpayer requesting the ruling.</w:t>
      </w:r>
    </w:p>
    <w:p w14:paraId="75C7AC5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small cases procedure of the U</w:t>
      </w:r>
      <w:r w:rsidRPr="0025534A">
        <w:rPr>
          <w:rFonts w:ascii="Palatino Linotype" w:hAnsi="Palatino Linotype" w:cs="Palatino Linotype"/>
          <w:sz w:val="20"/>
          <w:szCs w:val="20"/>
        </w:rPr>
        <w:t>.S. Tax Court allows a less formal hearing but provides for no appeal.</w:t>
      </w:r>
    </w:p>
    <w:p w14:paraId="082BB0F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The IRS may retroactively revoke an acquiescence.</w:t>
      </w:r>
    </w:p>
    <w:p w14:paraId="0F30DD7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60AC904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Acquiescence policy the party states it does not agree but will not appeal the decision.</w:t>
      </w:r>
    </w:p>
    <w:p w14:paraId="57286F5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C:1-17</w:t>
      </w:r>
    </w:p>
    <w:p w14:paraId="4543BA7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52543B1F" w14:textId="77777777" w:rsidR="00000000" w:rsidRPr="0025534A" w:rsidRDefault="000B70A6">
      <w:pPr>
        <w:pStyle w:val="NormalText"/>
        <w:rPr>
          <w:rFonts w:ascii="Palatino Linotype" w:hAnsi="Palatino Linotype"/>
          <w:sz w:val="20"/>
          <w:szCs w:val="20"/>
        </w:rPr>
      </w:pPr>
    </w:p>
    <w:p w14:paraId="046CE55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44) The phrase "Entered under Rule 155" indicates that</w:t>
      </w:r>
    </w:p>
    <w:p w14:paraId="60A6DC3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the computation of the exact amount of the tax deficiency has been left to the litigating parties.</w:t>
      </w:r>
    </w:p>
    <w:p w14:paraId="7C5C4C1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court has not reached a decision concerning the appropriate tax treatment of</w:t>
      </w:r>
      <w:r w:rsidRPr="0025534A">
        <w:rPr>
          <w:rFonts w:ascii="Palatino Linotype" w:hAnsi="Palatino Linotype" w:cs="Palatino Linotype"/>
          <w:sz w:val="20"/>
          <w:szCs w:val="20"/>
        </w:rPr>
        <w:t xml:space="preserve"> an issue.</w:t>
      </w:r>
    </w:p>
    <w:p w14:paraId="7BDF8A6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parties have agreed not to appeal the decision.</w:t>
      </w:r>
    </w:p>
    <w:p w14:paraId="49CCB9D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only one Tax Court judge reviewed the case.</w:t>
      </w:r>
    </w:p>
    <w:p w14:paraId="4E01C6F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353AE07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Rule 155 allows computation of exact amount been left to the litigating parties.</w:t>
      </w:r>
    </w:p>
    <w:p w14:paraId="2EC26DA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C:1-17</w:t>
      </w:r>
    </w:p>
    <w:p w14:paraId="73F4940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8DEAE07" w14:textId="77777777" w:rsidR="00000000" w:rsidRPr="0025534A" w:rsidRDefault="000B70A6">
      <w:pPr>
        <w:pStyle w:val="NormalText"/>
        <w:rPr>
          <w:rFonts w:ascii="Palatino Linotype" w:hAnsi="Palatino Linotype"/>
          <w:sz w:val="20"/>
          <w:szCs w:val="20"/>
        </w:rPr>
      </w:pPr>
    </w:p>
    <w:p w14:paraId="61C6F6E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45)</w:t>
      </w:r>
      <w:r w:rsidRPr="0025534A">
        <w:rPr>
          <w:rFonts w:ascii="Palatino Linotype" w:hAnsi="Palatino Linotype" w:cs="Palatino Linotype"/>
          <w:sz w:val="20"/>
          <w:szCs w:val="20"/>
        </w:rPr>
        <w:t xml:space="preserve"> Small case procedures of the U.S. Tax Court requires that the amount in dispute </w:t>
      </w:r>
      <w:r w:rsidRPr="0025534A">
        <w:rPr>
          <w:rFonts w:ascii="Palatino Linotype" w:hAnsi="Palatino Linotype" w:cs="Palatino Linotype"/>
          <w:sz w:val="20"/>
          <w:szCs w:val="20"/>
          <w:u w:val="single"/>
        </w:rPr>
        <w:t>not</w:t>
      </w:r>
      <w:r w:rsidRPr="0025534A">
        <w:rPr>
          <w:rFonts w:ascii="Palatino Linotype" w:hAnsi="Palatino Linotype" w:cs="Palatino Linotype"/>
          <w:sz w:val="20"/>
          <w:szCs w:val="20"/>
        </w:rPr>
        <w:t xml:space="preserve"> exceed</w:t>
      </w:r>
    </w:p>
    <w:p w14:paraId="28FB6DF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$5,000.</w:t>
      </w:r>
    </w:p>
    <w:p w14:paraId="50B55E7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$10,000.</w:t>
      </w:r>
    </w:p>
    <w:p w14:paraId="58F6B42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$50,000.</w:t>
      </w:r>
    </w:p>
    <w:p w14:paraId="0B69443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$100,000.</w:t>
      </w:r>
    </w:p>
    <w:p w14:paraId="606A868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71B7209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Small tax court cap is $50,000.</w:t>
      </w:r>
    </w:p>
    <w:p w14:paraId="196A01E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C:1-17</w:t>
      </w:r>
    </w:p>
    <w:p w14:paraId="12D77B2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6F9C02D2" w14:textId="77777777" w:rsidR="00000000" w:rsidRPr="0025534A" w:rsidRDefault="000B70A6">
      <w:pPr>
        <w:pStyle w:val="NormalText"/>
        <w:rPr>
          <w:rFonts w:ascii="Palatino Linotype" w:hAnsi="Palatino Linotype"/>
          <w:sz w:val="20"/>
          <w:szCs w:val="20"/>
        </w:rPr>
      </w:pPr>
    </w:p>
    <w:p w14:paraId="4F251DF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46) </w:t>
      </w:r>
      <w:r w:rsidRPr="0025534A">
        <w:rPr>
          <w:rFonts w:ascii="Palatino Linotype" w:hAnsi="Palatino Linotype" w:cs="Palatino Linotype"/>
          <w:sz w:val="20"/>
          <w:szCs w:val="20"/>
        </w:rPr>
        <w:t>The acquiescence policy of the IRS extends to the</w:t>
      </w:r>
    </w:p>
    <w:p w14:paraId="5DFB40F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U.S. Supreme Court decisions.</w:t>
      </w:r>
    </w:p>
    <w:p w14:paraId="0AF7C1A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U.S. Tax Court regular decisions.</w:t>
      </w:r>
    </w:p>
    <w:p w14:paraId="5DCC3A6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U.S. District Court decisions.</w:t>
      </w:r>
    </w:p>
    <w:p w14:paraId="7EE906A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both B and C</w:t>
      </w:r>
    </w:p>
    <w:p w14:paraId="4CB176A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4F21EF3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IRS cannot appeal USSC decisions.</w:t>
      </w:r>
    </w:p>
    <w:p w14:paraId="63E2BED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C:1-17</w:t>
      </w:r>
    </w:p>
    <w:p w14:paraId="0CBFF7E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w:t>
      </w:r>
      <w:r w:rsidRPr="0025534A">
        <w:rPr>
          <w:rFonts w:ascii="Palatino Linotype" w:hAnsi="Palatino Linotype"/>
          <w:sz w:val="20"/>
          <w:szCs w:val="20"/>
        </w:rPr>
        <w:t>e:  4</w:t>
      </w:r>
    </w:p>
    <w:p w14:paraId="3B9527F0" w14:textId="77777777" w:rsidR="00000000" w:rsidRPr="0025534A" w:rsidRDefault="000B70A6">
      <w:pPr>
        <w:pStyle w:val="NormalText"/>
        <w:rPr>
          <w:rFonts w:ascii="Palatino Linotype" w:hAnsi="Palatino Linotype"/>
          <w:sz w:val="20"/>
          <w:szCs w:val="20"/>
        </w:rPr>
      </w:pPr>
    </w:p>
    <w:p w14:paraId="071E8BCC"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429FAAD" w14:textId="63EFF1DD"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47) A tax case </w:t>
      </w:r>
      <w:r w:rsidRPr="0025534A">
        <w:rPr>
          <w:rFonts w:ascii="Palatino Linotype" w:hAnsi="Palatino Linotype" w:cs="Palatino Linotype"/>
          <w:sz w:val="20"/>
          <w:szCs w:val="20"/>
          <w:u w:val="single"/>
        </w:rPr>
        <w:t>cannot</w:t>
      </w:r>
      <w:r w:rsidRPr="0025534A">
        <w:rPr>
          <w:rFonts w:ascii="Palatino Linotype" w:hAnsi="Palatino Linotype" w:cs="Palatino Linotype"/>
          <w:sz w:val="20"/>
          <w:szCs w:val="20"/>
        </w:rPr>
        <w:t xml:space="preserve"> be appealed when initiated in the</w:t>
      </w:r>
    </w:p>
    <w:p w14:paraId="3982AC8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U.S. Court of Federal Claims.</w:t>
      </w:r>
    </w:p>
    <w:p w14:paraId="6522275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U.S. Tax Court.</w:t>
      </w:r>
    </w:p>
    <w:p w14:paraId="6A4BFC1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U.S. Tax Court using the small case procedures.</w:t>
      </w:r>
    </w:p>
    <w:p w14:paraId="0012BCC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none of the above</w:t>
      </w:r>
    </w:p>
    <w:p w14:paraId="69E0B72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6CDFD22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Small tax case does not allow appeal.</w:t>
      </w:r>
    </w:p>
    <w:p w14:paraId="618DE80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w:t>
      </w:r>
      <w:r w:rsidRPr="0025534A">
        <w:rPr>
          <w:rFonts w:ascii="Palatino Linotype" w:hAnsi="Palatino Linotype"/>
          <w:sz w:val="20"/>
          <w:szCs w:val="20"/>
        </w:rPr>
        <w:t>ef.:  C:1-17</w:t>
      </w:r>
    </w:p>
    <w:p w14:paraId="1C0A2CE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4D6A73A3" w14:textId="77777777" w:rsidR="00000000" w:rsidRPr="0025534A" w:rsidRDefault="000B70A6">
      <w:pPr>
        <w:pStyle w:val="NormalText"/>
        <w:rPr>
          <w:rFonts w:ascii="Palatino Linotype" w:hAnsi="Palatino Linotype"/>
          <w:sz w:val="20"/>
          <w:szCs w:val="20"/>
        </w:rPr>
      </w:pPr>
    </w:p>
    <w:p w14:paraId="07E3118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48) Identify which of the following statements is </w:t>
      </w:r>
      <w:r w:rsidRPr="0025534A">
        <w:rPr>
          <w:rFonts w:ascii="Palatino Linotype" w:hAnsi="Palatino Linotype" w:cs="Palatino Linotype"/>
          <w:sz w:val="20"/>
          <w:szCs w:val="20"/>
          <w:u w:val="single"/>
        </w:rPr>
        <w:t>false</w:t>
      </w:r>
      <w:r w:rsidRPr="0025534A">
        <w:rPr>
          <w:rFonts w:ascii="Palatino Linotype" w:hAnsi="Palatino Linotype" w:cs="Palatino Linotype"/>
          <w:sz w:val="20"/>
          <w:szCs w:val="20"/>
        </w:rPr>
        <w:t>.</w:t>
      </w:r>
    </w:p>
    <w:p w14:paraId="2D233AC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Regular and memorandum decisions of the Tax Court are published by the government in the </w:t>
      </w:r>
      <w:r w:rsidRPr="0025534A">
        <w:rPr>
          <w:rFonts w:ascii="Palatino Linotype" w:hAnsi="Palatino Linotype" w:cs="Palatino Linotype"/>
          <w:sz w:val="20"/>
          <w:szCs w:val="20"/>
          <w:u w:val="single"/>
        </w:rPr>
        <w:t>Tax Court of the United States Reports</w:t>
      </w:r>
      <w:r w:rsidRPr="0025534A">
        <w:rPr>
          <w:rFonts w:ascii="Palatino Linotype" w:hAnsi="Palatino Linotype" w:cs="Palatino Linotype"/>
          <w:sz w:val="20"/>
          <w:szCs w:val="20"/>
        </w:rPr>
        <w:t>.</w:t>
      </w:r>
    </w:p>
    <w:p w14:paraId="3B93F2D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B) The citation </w:t>
      </w:r>
      <w:r w:rsidRPr="0025534A">
        <w:rPr>
          <w:rFonts w:ascii="Palatino Linotype" w:hAnsi="Palatino Linotype" w:cs="Palatino Linotype"/>
          <w:sz w:val="20"/>
          <w:szCs w:val="20"/>
          <w:u w:val="single"/>
        </w:rPr>
        <w:t>Cristofani</w:t>
      </w:r>
      <w:r w:rsidRPr="0025534A">
        <w:rPr>
          <w:rFonts w:ascii="Palatino Linotype" w:hAnsi="Palatino Linotype" w:cs="Palatino Linotype"/>
          <w:sz w:val="20"/>
          <w:szCs w:val="20"/>
        </w:rPr>
        <w:t xml:space="preserve">, 97 T.C. 74 </w:t>
      </w:r>
      <w:r w:rsidRPr="0025534A">
        <w:rPr>
          <w:rFonts w:ascii="Palatino Linotype" w:hAnsi="Palatino Linotype" w:cs="Palatino Linotype"/>
          <w:sz w:val="20"/>
          <w:szCs w:val="20"/>
        </w:rPr>
        <w:t>(1991) indicates that the decision is a regular decision of the Tax Court.</w:t>
      </w:r>
    </w:p>
    <w:p w14:paraId="35D7DB3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The citation </w:t>
      </w:r>
      <w:r w:rsidRPr="0025534A">
        <w:rPr>
          <w:rFonts w:ascii="Palatino Linotype" w:hAnsi="Palatino Linotype" w:cs="Palatino Linotype"/>
          <w:sz w:val="20"/>
          <w:szCs w:val="20"/>
          <w:u w:val="single"/>
        </w:rPr>
        <w:t>Estate of Newhouse</w:t>
      </w:r>
      <w:r w:rsidRPr="0025534A">
        <w:rPr>
          <w:rFonts w:ascii="Palatino Linotype" w:hAnsi="Palatino Linotype" w:cs="Palatino Linotype"/>
          <w:sz w:val="20"/>
          <w:szCs w:val="20"/>
        </w:rPr>
        <w:t xml:space="preserve">, 94 T.C. 193 (1990), </w:t>
      </w:r>
      <w:r w:rsidRPr="0025534A">
        <w:rPr>
          <w:rFonts w:ascii="Palatino Linotype" w:hAnsi="Palatino Linotype" w:cs="Palatino Linotype"/>
          <w:sz w:val="20"/>
          <w:szCs w:val="20"/>
          <w:u w:val="single"/>
        </w:rPr>
        <w:t>nonacq.</w:t>
      </w:r>
      <w:r w:rsidRPr="0025534A">
        <w:rPr>
          <w:rFonts w:ascii="Palatino Linotype" w:hAnsi="Palatino Linotype" w:cs="Palatino Linotype"/>
          <w:sz w:val="20"/>
          <w:szCs w:val="20"/>
        </w:rPr>
        <w:t xml:space="preserve"> 1991-1 C.B. 1 indicates that the IRS did not formally disagree with this 1990 Tax Court decision until 1991.</w:t>
      </w:r>
    </w:p>
    <w:p w14:paraId="35011D1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The B</w:t>
      </w:r>
      <w:r w:rsidRPr="0025534A">
        <w:rPr>
          <w:rFonts w:ascii="Palatino Linotype" w:hAnsi="Palatino Linotype" w:cs="Palatino Linotype"/>
          <w:sz w:val="20"/>
          <w:szCs w:val="20"/>
        </w:rPr>
        <w:t>oard of Tax Appeals preceded the Tax Court.</w:t>
      </w:r>
    </w:p>
    <w:p w14:paraId="06C645A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7F6B4EB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Tax Court decisions are not published in this reporter.</w:t>
      </w:r>
    </w:p>
    <w:p w14:paraId="52B7B90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C:1-17</w:t>
      </w:r>
    </w:p>
    <w:p w14:paraId="6D41B61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CF2FF20" w14:textId="77777777" w:rsidR="00000000" w:rsidRPr="0025534A" w:rsidRDefault="000B70A6">
      <w:pPr>
        <w:pStyle w:val="NormalText"/>
        <w:rPr>
          <w:rFonts w:ascii="Palatino Linotype" w:hAnsi="Palatino Linotype"/>
          <w:sz w:val="20"/>
          <w:szCs w:val="20"/>
        </w:rPr>
      </w:pPr>
    </w:p>
    <w:p w14:paraId="61322AC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49) </w:t>
      </w:r>
      <w:r w:rsidRPr="0025534A">
        <w:rPr>
          <w:rFonts w:ascii="Palatino Linotype" w:hAnsi="Palatino Linotype" w:cs="Palatino Linotype"/>
          <w:sz w:val="20"/>
          <w:szCs w:val="20"/>
        </w:rPr>
        <w:t>You need to locate a recent tax case that was tried in a Federal district court. The decision is an "unreported" decision. This means the decision was</w:t>
      </w:r>
    </w:p>
    <w:p w14:paraId="5CA0821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not published in the </w:t>
      </w:r>
      <w:r w:rsidRPr="0025534A">
        <w:rPr>
          <w:rFonts w:ascii="Palatino Linotype" w:hAnsi="Palatino Linotype" w:cs="Palatino Linotype"/>
          <w:sz w:val="20"/>
          <w:szCs w:val="20"/>
          <w:u w:val="single"/>
        </w:rPr>
        <w:t>Federal Supplement</w:t>
      </w:r>
      <w:r w:rsidRPr="0025534A">
        <w:rPr>
          <w:rFonts w:ascii="Palatino Linotype" w:hAnsi="Palatino Linotype" w:cs="Palatino Linotype"/>
          <w:sz w:val="20"/>
          <w:szCs w:val="20"/>
        </w:rPr>
        <w:t>.</w:t>
      </w:r>
    </w:p>
    <w:p w14:paraId="14AC809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B) not published in </w:t>
      </w:r>
      <w:r w:rsidRPr="0025534A">
        <w:rPr>
          <w:rFonts w:ascii="Palatino Linotype" w:hAnsi="Palatino Linotype" w:cs="Palatino Linotype"/>
          <w:sz w:val="20"/>
          <w:szCs w:val="20"/>
          <w:u w:val="single"/>
        </w:rPr>
        <w:t>American Federal Tax Reports</w:t>
      </w:r>
      <w:r w:rsidRPr="0025534A">
        <w:rPr>
          <w:rFonts w:ascii="Palatino Linotype" w:hAnsi="Palatino Linotype" w:cs="Palatino Linotype"/>
          <w:sz w:val="20"/>
          <w:szCs w:val="20"/>
        </w:rPr>
        <w:t>.</w:t>
      </w:r>
    </w:p>
    <w:p w14:paraId="38CE8DA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not publ</w:t>
      </w:r>
      <w:r w:rsidRPr="0025534A">
        <w:rPr>
          <w:rFonts w:ascii="Palatino Linotype" w:hAnsi="Palatino Linotype" w:cs="Palatino Linotype"/>
          <w:sz w:val="20"/>
          <w:szCs w:val="20"/>
        </w:rPr>
        <w:t>ished in United States Tax Cases.</w:t>
      </w:r>
    </w:p>
    <w:p w14:paraId="671C32B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settled out of court.</w:t>
      </w:r>
    </w:p>
    <w:p w14:paraId="3FD2F03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1A568EB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Unreported means it was not published in the </w:t>
      </w:r>
      <w:r w:rsidRPr="0025534A">
        <w:rPr>
          <w:rFonts w:ascii="Palatino Linotype" w:hAnsi="Palatino Linotype" w:cs="Palatino Linotype"/>
          <w:sz w:val="20"/>
          <w:szCs w:val="20"/>
          <w:u w:val="single"/>
        </w:rPr>
        <w:t>Federal Supplement</w:t>
      </w:r>
      <w:r w:rsidRPr="0025534A">
        <w:rPr>
          <w:rFonts w:ascii="Palatino Linotype" w:hAnsi="Palatino Linotype" w:cs="Palatino Linotype"/>
          <w:sz w:val="20"/>
          <w:szCs w:val="20"/>
        </w:rPr>
        <w:t>.</w:t>
      </w:r>
    </w:p>
    <w:p w14:paraId="05AD5A9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C:1-18</w:t>
      </w:r>
    </w:p>
    <w:p w14:paraId="667A475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7C0F1284" w14:textId="77777777" w:rsidR="00000000" w:rsidRPr="0025534A" w:rsidRDefault="000B70A6">
      <w:pPr>
        <w:pStyle w:val="NormalText"/>
        <w:rPr>
          <w:rFonts w:ascii="Palatino Linotype" w:hAnsi="Palatino Linotype"/>
          <w:sz w:val="20"/>
          <w:szCs w:val="20"/>
        </w:rPr>
      </w:pPr>
    </w:p>
    <w:p w14:paraId="69464A3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50) A jury trial is permitted in the</w:t>
      </w:r>
    </w:p>
    <w:p w14:paraId="4899E7F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U.S. District Court.</w:t>
      </w:r>
    </w:p>
    <w:p w14:paraId="53659DB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B) U.S. Tax </w:t>
      </w:r>
      <w:r w:rsidRPr="0025534A">
        <w:rPr>
          <w:rFonts w:ascii="Palatino Linotype" w:hAnsi="Palatino Linotype" w:cs="Palatino Linotype"/>
          <w:sz w:val="20"/>
          <w:szCs w:val="20"/>
        </w:rPr>
        <w:t>Court.</w:t>
      </w:r>
    </w:p>
    <w:p w14:paraId="7C614AC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U.S. Court of Federal Claims.</w:t>
      </w:r>
    </w:p>
    <w:p w14:paraId="3B7E9C7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U.S. Tax Court when the small case procedures are used.</w:t>
      </w:r>
    </w:p>
    <w:p w14:paraId="0344877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770E006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A district court is the only forum in which the taxpayer may have a jury decide questions of fact.</w:t>
      </w:r>
    </w:p>
    <w:p w14:paraId="6F333CC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C:1-18</w:t>
      </w:r>
    </w:p>
    <w:p w14:paraId="1BAF6D5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40294B9" w14:textId="77777777" w:rsidR="00000000" w:rsidRPr="0025534A" w:rsidRDefault="000B70A6">
      <w:pPr>
        <w:pStyle w:val="NormalText"/>
        <w:rPr>
          <w:rFonts w:ascii="Palatino Linotype" w:hAnsi="Palatino Linotype"/>
          <w:sz w:val="20"/>
          <w:szCs w:val="20"/>
        </w:rPr>
      </w:pPr>
    </w:p>
    <w:p w14:paraId="3E6E8345"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210492F" w14:textId="39E5C2CA"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51) Which of the following citations is the primary citation for a U.S. District Court case?</w:t>
      </w:r>
    </w:p>
    <w:p w14:paraId="25D470F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43 AFTR 2d 79-1023</w:t>
      </w:r>
    </w:p>
    <w:p w14:paraId="61FE3B8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79-1 USTC &amp;9323</w:t>
      </w:r>
    </w:p>
    <w:p w14:paraId="713E595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55 F.2d 930</w:t>
      </w:r>
    </w:p>
    <w:p w14:paraId="7FF5903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40 F.Supp. 453</w:t>
      </w:r>
    </w:p>
    <w:p w14:paraId="0AAB019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5D682BA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Federal Supplement is primary citation for US district court.</w:t>
      </w:r>
    </w:p>
    <w:p w14:paraId="005FC24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C:1-19</w:t>
      </w:r>
    </w:p>
    <w:p w14:paraId="74AC9CAB"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1D033087" w14:textId="77777777" w:rsidR="00000000" w:rsidRPr="0025534A" w:rsidRDefault="000B70A6">
      <w:pPr>
        <w:pStyle w:val="NormalText"/>
        <w:rPr>
          <w:rFonts w:ascii="Palatino Linotype" w:hAnsi="Palatino Linotype"/>
          <w:sz w:val="20"/>
          <w:szCs w:val="20"/>
        </w:rPr>
      </w:pPr>
    </w:p>
    <w:p w14:paraId="1E697C3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52) Identify which of the following statements is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w:t>
      </w:r>
    </w:p>
    <w:p w14:paraId="4FCE32C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The citation, 41 TCM 1272, refers to a Tax Court regular decision published by Commerce Clearing House.</w:t>
      </w:r>
    </w:p>
    <w:p w14:paraId="347EC10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B) The </w:t>
      </w:r>
      <w:r w:rsidRPr="0025534A">
        <w:rPr>
          <w:rFonts w:ascii="Palatino Linotype" w:hAnsi="Palatino Linotype" w:cs="Palatino Linotype"/>
          <w:sz w:val="20"/>
          <w:szCs w:val="20"/>
          <w:u w:val="single"/>
        </w:rPr>
        <w:t>Federal Supplement</w:t>
      </w:r>
      <w:r w:rsidRPr="0025534A">
        <w:rPr>
          <w:rFonts w:ascii="Palatino Linotype" w:hAnsi="Palatino Linotype" w:cs="Palatino Linotype"/>
          <w:sz w:val="20"/>
          <w:szCs w:val="20"/>
        </w:rPr>
        <w:t xml:space="preserve"> contains only tax cases.</w:t>
      </w:r>
    </w:p>
    <w:p w14:paraId="7DBF0C7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The </w:t>
      </w:r>
      <w:r w:rsidRPr="0025534A">
        <w:rPr>
          <w:rFonts w:ascii="Palatino Linotype" w:hAnsi="Palatino Linotype" w:cs="Palatino Linotype"/>
          <w:sz w:val="20"/>
          <w:szCs w:val="20"/>
          <w:u w:val="single"/>
        </w:rPr>
        <w:t>A</w:t>
      </w:r>
      <w:r w:rsidRPr="0025534A">
        <w:rPr>
          <w:rFonts w:ascii="Palatino Linotype" w:hAnsi="Palatino Linotype" w:cs="Palatino Linotype"/>
          <w:sz w:val="20"/>
          <w:szCs w:val="20"/>
          <w:u w:val="single"/>
        </w:rPr>
        <w:t>merican Federal Tax Reports</w:t>
      </w:r>
      <w:r w:rsidRPr="0025534A">
        <w:rPr>
          <w:rFonts w:ascii="Palatino Linotype" w:hAnsi="Palatino Linotype" w:cs="Palatino Linotype"/>
          <w:sz w:val="20"/>
          <w:szCs w:val="20"/>
        </w:rPr>
        <w:t xml:space="preserve"> contain only tax cases.</w:t>
      </w:r>
    </w:p>
    <w:p w14:paraId="254F226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All of the above are false.</w:t>
      </w:r>
    </w:p>
    <w:p w14:paraId="67E7A12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3C1E704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w:t>
      </w:r>
      <w:r w:rsidRPr="0025534A">
        <w:rPr>
          <w:rFonts w:ascii="Palatino Linotype" w:hAnsi="Palatino Linotype" w:cs="Palatino Linotype"/>
          <w:sz w:val="20"/>
          <w:szCs w:val="20"/>
          <w:u w:val="single"/>
        </w:rPr>
        <w:t>American Federal Tax Reports</w:t>
      </w:r>
      <w:r w:rsidRPr="0025534A">
        <w:rPr>
          <w:rFonts w:ascii="Palatino Linotype" w:hAnsi="Palatino Linotype" w:cs="Palatino Linotype"/>
          <w:sz w:val="20"/>
          <w:szCs w:val="20"/>
        </w:rPr>
        <w:t xml:space="preserve"> contain only tax cases.</w:t>
      </w:r>
    </w:p>
    <w:p w14:paraId="76C5E0C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C:1-19</w:t>
      </w:r>
    </w:p>
    <w:p w14:paraId="204C363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6C89740" w14:textId="77777777" w:rsidR="00000000" w:rsidRPr="0025534A" w:rsidRDefault="000B70A6">
      <w:pPr>
        <w:pStyle w:val="NormalText"/>
        <w:rPr>
          <w:rFonts w:ascii="Palatino Linotype" w:hAnsi="Palatino Linotype"/>
          <w:sz w:val="20"/>
          <w:szCs w:val="20"/>
        </w:rPr>
      </w:pPr>
    </w:p>
    <w:p w14:paraId="785F3FB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53) Identify which of the following statements is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w:t>
      </w:r>
    </w:p>
    <w:p w14:paraId="791C955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w:t>
      </w:r>
      <w:r w:rsidRPr="0025534A">
        <w:rPr>
          <w:rFonts w:ascii="Palatino Linotype" w:hAnsi="Palatino Linotype" w:cs="Palatino Linotype"/>
          <w:sz w:val="20"/>
          <w:szCs w:val="20"/>
        </w:rPr>
        <w:t>e U.S. Court of Federal Claims hears cases only in Washington, D.C.</w:t>
      </w:r>
    </w:p>
    <w:p w14:paraId="589B060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Each state has at least one U.S. District Court.</w:t>
      </w:r>
    </w:p>
    <w:p w14:paraId="4E43DE8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Federal district court decisions and federal courts of appeals decisions are not printed by the U.S. Government Printing Office.</w:t>
      </w:r>
    </w:p>
    <w:p w14:paraId="1CBD285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w:t>
      </w:r>
      <w:r w:rsidRPr="0025534A">
        <w:rPr>
          <w:rFonts w:ascii="Palatino Linotype" w:hAnsi="Palatino Linotype" w:cs="Palatino Linotype"/>
          <w:sz w:val="20"/>
          <w:szCs w:val="20"/>
        </w:rPr>
        <w:t>ll of the above are false.</w:t>
      </w:r>
    </w:p>
    <w:p w14:paraId="1FC1E4D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6C74749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While some states have more than one district court due to the size of the State, every state has at least one district court.</w:t>
      </w:r>
    </w:p>
    <w:p w14:paraId="4AA92A4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C:1-18</w:t>
      </w:r>
    </w:p>
    <w:p w14:paraId="56C6ED6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88DA66A" w14:textId="77777777" w:rsidR="00000000" w:rsidRPr="0025534A" w:rsidRDefault="000B70A6">
      <w:pPr>
        <w:pStyle w:val="NormalText"/>
        <w:rPr>
          <w:rFonts w:ascii="Palatino Linotype" w:hAnsi="Palatino Linotype"/>
          <w:sz w:val="20"/>
          <w:szCs w:val="20"/>
        </w:rPr>
      </w:pPr>
    </w:p>
    <w:p w14:paraId="5D35F3D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54) Identify which of the following stateme</w:t>
      </w:r>
      <w:r w:rsidRPr="0025534A">
        <w:rPr>
          <w:rFonts w:ascii="Palatino Linotype" w:hAnsi="Palatino Linotype" w:cs="Palatino Linotype"/>
          <w:sz w:val="20"/>
          <w:szCs w:val="20"/>
        </w:rPr>
        <w:t xml:space="preserve">nts is </w:t>
      </w:r>
      <w:r w:rsidRPr="0025534A">
        <w:rPr>
          <w:rFonts w:ascii="Palatino Linotype" w:hAnsi="Palatino Linotype" w:cs="Palatino Linotype"/>
          <w:sz w:val="20"/>
          <w:szCs w:val="20"/>
          <w:u w:val="single"/>
        </w:rPr>
        <w:t>false</w:t>
      </w:r>
      <w:r w:rsidRPr="0025534A">
        <w:rPr>
          <w:rFonts w:ascii="Palatino Linotype" w:hAnsi="Palatino Linotype" w:cs="Palatino Linotype"/>
          <w:sz w:val="20"/>
          <w:szCs w:val="20"/>
        </w:rPr>
        <w:t>.</w:t>
      </w:r>
    </w:p>
    <w:p w14:paraId="79D970C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Citations to the AFTR and the USTC are referred to as secondary citations.</w:t>
      </w:r>
    </w:p>
    <w:p w14:paraId="25C94A8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A circuit court of appeals must follow the opinion of another circuit court of appeals if the latter appeals court has previously ruled on the tax issue.</w:t>
      </w:r>
    </w:p>
    <w:p w14:paraId="363DFA9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A U.</w:t>
      </w:r>
      <w:r w:rsidRPr="0025534A">
        <w:rPr>
          <w:rFonts w:ascii="Palatino Linotype" w:hAnsi="Palatino Linotype" w:cs="Palatino Linotype"/>
          <w:sz w:val="20"/>
          <w:szCs w:val="20"/>
        </w:rPr>
        <w:t>S. Supreme Court opinion in a tax matter has the same status as Congressional tax legislation.</w:t>
      </w:r>
    </w:p>
    <w:p w14:paraId="02C30D8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Circuit Court decisions are reported in the Federal Reporter.</w:t>
      </w:r>
    </w:p>
    <w:p w14:paraId="0FEAE75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41BA7CC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w:t>
      </w:r>
      <w:r w:rsidRPr="0025534A">
        <w:rPr>
          <w:rFonts w:ascii="Palatino Linotype" w:hAnsi="Palatino Linotype" w:cs="Palatino Linotype"/>
          <w:sz w:val="20"/>
          <w:szCs w:val="20"/>
        </w:rPr>
        <w:t>Each circuit court is independent of other circuit courts.</w:t>
      </w:r>
    </w:p>
    <w:p w14:paraId="2A52C72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C:1-20</w:t>
      </w:r>
    </w:p>
    <w:p w14:paraId="44AECE4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12B581A" w14:textId="77777777" w:rsidR="00000000" w:rsidRPr="0025534A" w:rsidRDefault="000B70A6">
      <w:pPr>
        <w:pStyle w:val="NormalText"/>
        <w:rPr>
          <w:rFonts w:ascii="Palatino Linotype" w:hAnsi="Palatino Linotype"/>
          <w:sz w:val="20"/>
          <w:szCs w:val="20"/>
        </w:rPr>
      </w:pPr>
    </w:p>
    <w:p w14:paraId="39B9BDAA"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6DF91AB" w14:textId="30AEB746"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55) Identify which of the following statements is </w:t>
      </w:r>
      <w:r w:rsidRPr="0025534A">
        <w:rPr>
          <w:rFonts w:ascii="Palatino Linotype" w:hAnsi="Palatino Linotype" w:cs="Palatino Linotype"/>
          <w:sz w:val="20"/>
          <w:szCs w:val="20"/>
          <w:u w:val="single"/>
        </w:rPr>
        <w:t>false</w:t>
      </w:r>
      <w:r w:rsidRPr="0025534A">
        <w:rPr>
          <w:rFonts w:ascii="Palatino Linotype" w:hAnsi="Palatino Linotype" w:cs="Palatino Linotype"/>
          <w:sz w:val="20"/>
          <w:szCs w:val="20"/>
        </w:rPr>
        <w:t>.</w:t>
      </w:r>
    </w:p>
    <w:p w14:paraId="79E43E1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The U.S. Tax Court must follow the previous decisions of the U.S. District Court for the district in wh</w:t>
      </w:r>
      <w:r w:rsidRPr="0025534A">
        <w:rPr>
          <w:rFonts w:ascii="Palatino Linotype" w:hAnsi="Palatino Linotype" w:cs="Palatino Linotype"/>
          <w:sz w:val="20"/>
          <w:szCs w:val="20"/>
        </w:rPr>
        <w:t>ich the taxpayer lives.</w:t>
      </w:r>
    </w:p>
    <w:p w14:paraId="442FC09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U.S. Tax Court follows the previous decisions of the U.S. Court of Appeals to which the tax matter is appealable.</w:t>
      </w:r>
    </w:p>
    <w:p w14:paraId="76FD3E6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opportunity for "forum shopping" occurs when different precedents on the same point exist.</w:t>
      </w:r>
    </w:p>
    <w:p w14:paraId="6C4F901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The U.S. T</w:t>
      </w:r>
      <w:r w:rsidRPr="0025534A">
        <w:rPr>
          <w:rFonts w:ascii="Palatino Linotype" w:hAnsi="Palatino Linotype" w:cs="Palatino Linotype"/>
          <w:sz w:val="20"/>
          <w:szCs w:val="20"/>
        </w:rPr>
        <w:t>ax Court may intentionally issue conflicting decisions.</w:t>
      </w:r>
    </w:p>
    <w:p w14:paraId="4357B5A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16E14FF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US Tax Court is not bound by US District Court decisions.</w:t>
      </w:r>
    </w:p>
    <w:p w14:paraId="5CC49CD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C:1-21</w:t>
      </w:r>
    </w:p>
    <w:p w14:paraId="7DC1476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7ADD4B2D" w14:textId="77777777" w:rsidR="00000000" w:rsidRPr="0025534A" w:rsidRDefault="000B70A6">
      <w:pPr>
        <w:pStyle w:val="NormalText"/>
        <w:rPr>
          <w:rFonts w:ascii="Palatino Linotype" w:hAnsi="Palatino Linotype"/>
          <w:sz w:val="20"/>
          <w:szCs w:val="20"/>
        </w:rPr>
      </w:pPr>
    </w:p>
    <w:p w14:paraId="1699FAD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56) The Tax Court departs from its general policy of ruling uniformly for all taxpa</w:t>
      </w:r>
      <w:r w:rsidRPr="0025534A">
        <w:rPr>
          <w:rFonts w:ascii="Palatino Linotype" w:hAnsi="Palatino Linotype" w:cs="Palatino Linotype"/>
          <w:sz w:val="20"/>
          <w:szCs w:val="20"/>
        </w:rPr>
        <w:t>yers where</w:t>
      </w:r>
    </w:p>
    <w:p w14:paraId="2C3960A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a U.S. District Court has ruled differently on the issue in the taxpayer's jurisdiction.</w:t>
      </w:r>
    </w:p>
    <w:p w14:paraId="303CB56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U.S. Court of Federal Claims has ruled differently on the issue in the taxpayer's jurisdiction.</w:t>
      </w:r>
    </w:p>
    <w:p w14:paraId="240779F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Court of Appeals in the circuit to which th</w:t>
      </w:r>
      <w:r w:rsidRPr="0025534A">
        <w:rPr>
          <w:rFonts w:ascii="Palatino Linotype" w:hAnsi="Palatino Linotype" w:cs="Palatino Linotype"/>
          <w:sz w:val="20"/>
          <w:szCs w:val="20"/>
        </w:rPr>
        <w:t>e Tax Court decision would be appealed has ruled differently on the issue.</w:t>
      </w:r>
    </w:p>
    <w:p w14:paraId="4DDE10B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the IRS has indicated that it will acquiesce.</w:t>
      </w:r>
    </w:p>
    <w:p w14:paraId="5B34AB4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0E9B985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Tax Court will generally follow the precedent of Court of Appeals for its district.</w:t>
      </w:r>
    </w:p>
    <w:p w14:paraId="0230EBE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C:1-21</w:t>
      </w:r>
    </w:p>
    <w:p w14:paraId="29D68E4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w:t>
      </w:r>
      <w:r w:rsidRPr="0025534A">
        <w:rPr>
          <w:rFonts w:ascii="Palatino Linotype" w:hAnsi="Palatino Linotype"/>
          <w:sz w:val="20"/>
          <w:szCs w:val="20"/>
        </w:rPr>
        <w:t>ctive:  4</w:t>
      </w:r>
    </w:p>
    <w:p w14:paraId="271DFF36" w14:textId="77777777" w:rsidR="00000000" w:rsidRPr="0025534A" w:rsidRDefault="000B70A6">
      <w:pPr>
        <w:pStyle w:val="NormalText"/>
        <w:rPr>
          <w:rFonts w:ascii="Palatino Linotype" w:hAnsi="Palatino Linotype"/>
          <w:sz w:val="20"/>
          <w:szCs w:val="20"/>
        </w:rPr>
      </w:pPr>
    </w:p>
    <w:p w14:paraId="44D47FE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57) Identify which of the following statements is </w:t>
      </w:r>
      <w:r w:rsidRPr="0025534A">
        <w:rPr>
          <w:rFonts w:ascii="Palatino Linotype" w:hAnsi="Palatino Linotype" w:cs="Palatino Linotype"/>
          <w:sz w:val="20"/>
          <w:szCs w:val="20"/>
          <w:u w:val="single"/>
        </w:rPr>
        <w:t>false</w:t>
      </w:r>
      <w:r w:rsidRPr="0025534A">
        <w:rPr>
          <w:rFonts w:ascii="Palatino Linotype" w:hAnsi="Palatino Linotype" w:cs="Palatino Linotype"/>
          <w:sz w:val="20"/>
          <w:szCs w:val="20"/>
        </w:rPr>
        <w:t>.</w:t>
      </w:r>
    </w:p>
    <w:p w14:paraId="273C819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When a court opinion discusses facts and issues on which the court does not rule, the comments are called </w:t>
      </w:r>
      <w:r w:rsidRPr="0025534A">
        <w:rPr>
          <w:rFonts w:ascii="Palatino Linotype" w:hAnsi="Palatino Linotype" w:cs="Palatino Linotype"/>
          <w:i/>
          <w:iCs/>
          <w:sz w:val="20"/>
          <w:szCs w:val="20"/>
        </w:rPr>
        <w:t>dicta</w:t>
      </w:r>
      <w:r w:rsidRPr="0025534A">
        <w:rPr>
          <w:rFonts w:ascii="Palatino Linotype" w:hAnsi="Palatino Linotype" w:cs="Palatino Linotype"/>
          <w:sz w:val="20"/>
          <w:szCs w:val="20"/>
        </w:rPr>
        <w:t>.</w:t>
      </w:r>
    </w:p>
    <w:p w14:paraId="574527B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B) </w:t>
      </w:r>
      <w:r w:rsidRPr="0025534A">
        <w:rPr>
          <w:rFonts w:ascii="Palatino Linotype" w:hAnsi="Palatino Linotype" w:cs="Palatino Linotype"/>
          <w:i/>
          <w:iCs/>
          <w:sz w:val="20"/>
          <w:szCs w:val="20"/>
        </w:rPr>
        <w:t>Dicta</w:t>
      </w:r>
      <w:r w:rsidRPr="0025534A">
        <w:rPr>
          <w:rFonts w:ascii="Palatino Linotype" w:hAnsi="Palatino Linotype" w:cs="Palatino Linotype"/>
          <w:sz w:val="20"/>
          <w:szCs w:val="20"/>
        </w:rPr>
        <w:t xml:space="preserve"> in a court opinion has no influence on other tax proceedings.</w:t>
      </w:r>
    </w:p>
    <w:p w14:paraId="1310B25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Published articles and tax services are examples of secondary sources of authority.</w:t>
      </w:r>
    </w:p>
    <w:p w14:paraId="0296121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D) </w:t>
      </w:r>
      <w:r w:rsidRPr="0025534A">
        <w:rPr>
          <w:rFonts w:ascii="Palatino Linotype" w:hAnsi="Palatino Linotype" w:cs="Palatino Linotype"/>
          <w:i/>
          <w:iCs/>
          <w:sz w:val="20"/>
          <w:szCs w:val="20"/>
        </w:rPr>
        <w:t xml:space="preserve">Dicta </w:t>
      </w:r>
      <w:r w:rsidRPr="0025534A">
        <w:rPr>
          <w:rFonts w:ascii="Palatino Linotype" w:hAnsi="Palatino Linotype" w:cs="Palatino Linotype"/>
          <w:sz w:val="20"/>
          <w:szCs w:val="20"/>
        </w:rPr>
        <w:t>are not authoritative.</w:t>
      </w:r>
    </w:p>
    <w:p w14:paraId="5241B4F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3DC7ED5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w:t>
      </w:r>
      <w:r w:rsidRPr="0025534A">
        <w:rPr>
          <w:rFonts w:ascii="Palatino Linotype" w:hAnsi="Palatino Linotype" w:cs="Palatino Linotype"/>
          <w:sz w:val="20"/>
          <w:szCs w:val="20"/>
        </w:rPr>
        <w:t>Dicta is a court opinion with influence on other court proceedings.</w:t>
      </w:r>
    </w:p>
    <w:p w14:paraId="39E9781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C:1-23</w:t>
      </w:r>
    </w:p>
    <w:p w14:paraId="4CB05DB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5076BFA" w14:textId="77777777" w:rsidR="00000000" w:rsidRPr="0025534A" w:rsidRDefault="000B70A6">
      <w:pPr>
        <w:pStyle w:val="NormalText"/>
        <w:rPr>
          <w:rFonts w:ascii="Palatino Linotype" w:hAnsi="Palatino Linotype"/>
          <w:sz w:val="20"/>
          <w:szCs w:val="20"/>
        </w:rPr>
      </w:pPr>
    </w:p>
    <w:p w14:paraId="28C6286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58) When a court discusses issues not raised by the facts, the comments</w:t>
      </w:r>
    </w:p>
    <w:p w14:paraId="5508649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are excluded from the formal court opinion.</w:t>
      </w:r>
    </w:p>
    <w:p w14:paraId="3E089E2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may be referenced by the parties</w:t>
      </w:r>
      <w:r w:rsidRPr="0025534A">
        <w:rPr>
          <w:rFonts w:ascii="Palatino Linotype" w:hAnsi="Palatino Linotype" w:cs="Palatino Linotype"/>
          <w:sz w:val="20"/>
          <w:szCs w:val="20"/>
        </w:rPr>
        <w:t xml:space="preserve"> in other cases having the same facts.</w:t>
      </w:r>
    </w:p>
    <w:p w14:paraId="6BA8CE3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are not </w:t>
      </w:r>
      <w:r w:rsidRPr="0025534A">
        <w:rPr>
          <w:rFonts w:ascii="Palatino Linotype" w:hAnsi="Palatino Linotype" w:cs="Palatino Linotype"/>
          <w:i/>
          <w:iCs/>
          <w:sz w:val="20"/>
          <w:szCs w:val="20"/>
        </w:rPr>
        <w:t>dicta</w:t>
      </w:r>
      <w:r w:rsidRPr="0025534A">
        <w:rPr>
          <w:rFonts w:ascii="Palatino Linotype" w:hAnsi="Palatino Linotype" w:cs="Palatino Linotype"/>
          <w:sz w:val="20"/>
          <w:szCs w:val="20"/>
        </w:rPr>
        <w:t>.</w:t>
      </w:r>
    </w:p>
    <w:p w14:paraId="45FC9BE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will cause the court's decision to be declared invalid.</w:t>
      </w:r>
    </w:p>
    <w:p w14:paraId="06F4D6B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79DCF08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Court has discretion to reference other cases having same facts.</w:t>
      </w:r>
    </w:p>
    <w:p w14:paraId="2C038B8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C:1-23</w:t>
      </w:r>
    </w:p>
    <w:p w14:paraId="1F0BE3C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62F06B1" w14:textId="77777777" w:rsidR="00000000" w:rsidRPr="0025534A" w:rsidRDefault="000B70A6">
      <w:pPr>
        <w:pStyle w:val="NormalText"/>
        <w:rPr>
          <w:rFonts w:ascii="Palatino Linotype" w:hAnsi="Palatino Linotype"/>
          <w:sz w:val="20"/>
          <w:szCs w:val="20"/>
        </w:rPr>
      </w:pPr>
    </w:p>
    <w:p w14:paraId="1DCED61F"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5207842" w14:textId="25ADF64E"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59) Which of the</w:t>
      </w:r>
      <w:r w:rsidRPr="0025534A">
        <w:rPr>
          <w:rFonts w:ascii="Palatino Linotype" w:hAnsi="Palatino Linotype" w:cs="Palatino Linotype"/>
          <w:sz w:val="20"/>
          <w:szCs w:val="20"/>
        </w:rPr>
        <w:t xml:space="preserve"> following is a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 xml:space="preserve"> statement regarding primary authority of tax law?</w:t>
      </w:r>
    </w:p>
    <w:p w14:paraId="79B2728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 Articles in </w:t>
      </w:r>
      <w:r w:rsidRPr="0025534A">
        <w:rPr>
          <w:rFonts w:ascii="Palatino Linotype" w:hAnsi="Palatino Linotype" w:cs="Palatino Linotype"/>
          <w:sz w:val="20"/>
          <w:szCs w:val="20"/>
          <w:u w:val="single"/>
        </w:rPr>
        <w:t>The Journal of Taxation</w:t>
      </w:r>
      <w:r w:rsidRPr="0025534A">
        <w:rPr>
          <w:rFonts w:ascii="Palatino Linotype" w:hAnsi="Palatino Linotype" w:cs="Palatino Linotype"/>
          <w:i/>
          <w:iCs/>
          <w:sz w:val="20"/>
          <w:szCs w:val="20"/>
        </w:rPr>
        <w:t xml:space="preserve"> </w:t>
      </w:r>
      <w:r w:rsidRPr="0025534A">
        <w:rPr>
          <w:rFonts w:ascii="Palatino Linotype" w:hAnsi="Palatino Linotype" w:cs="Palatino Linotype"/>
          <w:sz w:val="20"/>
          <w:szCs w:val="20"/>
        </w:rPr>
        <w:t>are viewed as primary authority.</w:t>
      </w:r>
    </w:p>
    <w:p w14:paraId="4DDFF33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Primary authority includes the Code, as well as administrative and judicial interpretations.</w:t>
      </w:r>
    </w:p>
    <w:p w14:paraId="238266E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The Bloomberg </w:t>
      </w:r>
      <w:r w:rsidRPr="0025534A">
        <w:rPr>
          <w:rFonts w:ascii="Palatino Linotype" w:hAnsi="Palatino Linotype" w:cs="Palatino Linotype"/>
          <w:sz w:val="20"/>
          <w:szCs w:val="20"/>
        </w:rPr>
        <w:t>BNA Daily Tax Reporter is a source of primary tax authority.</w:t>
      </w:r>
    </w:p>
    <w:p w14:paraId="5CB2E1F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Tax services are sources of primary tax authority.</w:t>
      </w:r>
    </w:p>
    <w:p w14:paraId="5594B5F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4514FB9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Primary authority originates with IRC, administrative and judicial interpretations</w:t>
      </w:r>
    </w:p>
    <w:p w14:paraId="510511F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C:1-24</w:t>
      </w:r>
    </w:p>
    <w:p w14:paraId="4A902F5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1873FB70" w14:textId="77777777" w:rsidR="00000000" w:rsidRPr="0025534A" w:rsidRDefault="000B70A6">
      <w:pPr>
        <w:pStyle w:val="NormalText"/>
        <w:rPr>
          <w:rFonts w:ascii="Palatino Linotype" w:hAnsi="Palatino Linotype"/>
          <w:sz w:val="20"/>
          <w:szCs w:val="20"/>
        </w:rPr>
      </w:pPr>
    </w:p>
    <w:p w14:paraId="3481B65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60) Which of the following is secondary authority?</w:t>
      </w:r>
    </w:p>
    <w:p w14:paraId="6F3C88A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Internal Revenue Code</w:t>
      </w:r>
    </w:p>
    <w:p w14:paraId="0053949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Treasury Regulations</w:t>
      </w:r>
    </w:p>
    <w:p w14:paraId="217711C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RIA and CCH tax services</w:t>
      </w:r>
    </w:p>
    <w:p w14:paraId="6FF20BB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Revenue Ruling</w:t>
      </w:r>
    </w:p>
    <w:p w14:paraId="33B8161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38353E0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w:t>
      </w:r>
      <w:r w:rsidRPr="0025534A">
        <w:rPr>
          <w:rFonts w:ascii="Palatino Linotype" w:hAnsi="Palatino Linotype" w:cs="Palatino Linotype"/>
          <w:sz w:val="20"/>
          <w:szCs w:val="20"/>
        </w:rPr>
        <w:t>Third party sources are secondary authority.</w:t>
      </w:r>
    </w:p>
    <w:p w14:paraId="6D98CD0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C:1-24</w:t>
      </w:r>
    </w:p>
    <w:p w14:paraId="19FDB05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4633274" w14:textId="77777777" w:rsidR="00000000" w:rsidRPr="0025534A" w:rsidRDefault="000B70A6">
      <w:pPr>
        <w:pStyle w:val="NormalText"/>
        <w:rPr>
          <w:rFonts w:ascii="Palatino Linotype" w:hAnsi="Palatino Linotype"/>
          <w:sz w:val="20"/>
          <w:szCs w:val="20"/>
        </w:rPr>
      </w:pPr>
    </w:p>
    <w:p w14:paraId="5C936A1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61) Explain how committee reports can be used in tax research. What do they indicate?</w:t>
      </w:r>
    </w:p>
    <w:p w14:paraId="1E5A38B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Committee reports can help resolve ambiguities in statutory language by revealing </w:t>
      </w:r>
      <w:r w:rsidRPr="0025534A">
        <w:rPr>
          <w:rFonts w:ascii="Palatino Linotype" w:hAnsi="Palatino Linotype" w:cs="Palatino Linotype"/>
          <w:sz w:val="20"/>
          <w:szCs w:val="20"/>
        </w:rPr>
        <w:t>Congressional intent. They are indicative of this intent.</w:t>
      </w:r>
    </w:p>
    <w:p w14:paraId="063FADF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C:1-7</w:t>
      </w:r>
    </w:p>
    <w:p w14:paraId="54008CA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420D2E9" w14:textId="77777777" w:rsidR="00000000" w:rsidRPr="0025534A" w:rsidRDefault="000B70A6">
      <w:pPr>
        <w:pStyle w:val="NormalText"/>
        <w:rPr>
          <w:rFonts w:ascii="Palatino Linotype" w:hAnsi="Palatino Linotype"/>
          <w:sz w:val="20"/>
          <w:szCs w:val="20"/>
        </w:rPr>
      </w:pPr>
    </w:p>
    <w:p w14:paraId="6A48123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62) In 1998, Congress passed legislation concerning shifting the burden of proof to the IRS. The taxpayer must introduce "credible evidence" to shift the burden of p</w:t>
      </w:r>
      <w:r w:rsidRPr="0025534A">
        <w:rPr>
          <w:rFonts w:ascii="Palatino Linotype" w:hAnsi="Palatino Linotype" w:cs="Palatino Linotype"/>
          <w:sz w:val="20"/>
          <w:szCs w:val="20"/>
        </w:rPr>
        <w:t>roof to the IRS. What constitutes "credible evidence"?</w:t>
      </w:r>
    </w:p>
    <w:p w14:paraId="69F0364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The term is not defined in the IRC. Because the provision is relatively new, few courts have had an opportunity to interpret what "credible evidence" means. In the absence of relevant statutor</w:t>
      </w:r>
      <w:r w:rsidRPr="0025534A">
        <w:rPr>
          <w:rFonts w:ascii="Palatino Linotype" w:hAnsi="Palatino Linotype" w:cs="Palatino Linotype"/>
          <w:sz w:val="20"/>
          <w:szCs w:val="20"/>
        </w:rPr>
        <w:t>y or judicial authority, you might look to the committee reports to ascertain what Congress intended by the term. Senate Report No. 105-174 states that "credible evidence" means evidence of a quality, which, "after critical analysis, the court would find s</w:t>
      </w:r>
      <w:r w:rsidRPr="0025534A">
        <w:rPr>
          <w:rFonts w:ascii="Palatino Linotype" w:hAnsi="Palatino Linotype" w:cs="Palatino Linotype"/>
          <w:sz w:val="20"/>
          <w:szCs w:val="20"/>
        </w:rPr>
        <w:t>ufficient upon which to base a decision on the issue if no contrary evidence were submitted."</w:t>
      </w:r>
    </w:p>
    <w:p w14:paraId="3F5E26C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C:1-7 and C:1-8; Example C:1-4</w:t>
      </w:r>
    </w:p>
    <w:p w14:paraId="1A020E2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5BE61661" w14:textId="77777777" w:rsidR="00000000" w:rsidRPr="0025534A" w:rsidRDefault="000B70A6">
      <w:pPr>
        <w:pStyle w:val="NormalText"/>
        <w:rPr>
          <w:rFonts w:ascii="Palatino Linotype" w:hAnsi="Palatino Linotype"/>
          <w:sz w:val="20"/>
          <w:szCs w:val="20"/>
        </w:rPr>
      </w:pPr>
    </w:p>
    <w:p w14:paraId="24F57F2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63) Does Title 26 contain statutory provisions dealing only with income taxation? Explain.</w:t>
      </w:r>
    </w:p>
    <w:p w14:paraId="791ABA1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No; </w:t>
      </w:r>
      <w:r w:rsidRPr="0025534A">
        <w:rPr>
          <w:rFonts w:ascii="Palatino Linotype" w:hAnsi="Palatino Linotype" w:cs="Palatino Linotype"/>
          <w:sz w:val="20"/>
          <w:szCs w:val="20"/>
        </w:rPr>
        <w:t>Title 26 deals with all taxation matters, not just income taxation. It covers estate tax, gift tax, employment tax, alcohol and tobacco tax, and excise tax matters.</w:t>
      </w:r>
    </w:p>
    <w:p w14:paraId="116167B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C:1-8</w:t>
      </w:r>
    </w:p>
    <w:p w14:paraId="60D5627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752EB6BB" w14:textId="77777777" w:rsidR="00000000" w:rsidRPr="0025534A" w:rsidRDefault="000B70A6">
      <w:pPr>
        <w:pStyle w:val="NormalText"/>
        <w:rPr>
          <w:rFonts w:ascii="Palatino Linotype" w:hAnsi="Palatino Linotype"/>
          <w:sz w:val="20"/>
          <w:szCs w:val="20"/>
        </w:rPr>
      </w:pPr>
    </w:p>
    <w:p w14:paraId="48FB618E"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C2525C9" w14:textId="22F91730"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64) What is the purpose of Treasury Regulations?</w:t>
      </w:r>
    </w:p>
    <w:p w14:paraId="5827619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w:t>
      </w:r>
      <w:r w:rsidRPr="0025534A">
        <w:rPr>
          <w:rFonts w:ascii="Palatino Linotype" w:hAnsi="Palatino Linotype" w:cs="Palatino Linotype"/>
          <w:sz w:val="20"/>
          <w:szCs w:val="20"/>
        </w:rPr>
        <w:t>The Treasury Department issues regulations that expound upon the IRC. Treasury Regulations often contain examples with computations that provide valuable assistance in understanding the statutory language.</w:t>
      </w:r>
    </w:p>
    <w:p w14:paraId="79D8BCD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C:1-9</w:t>
      </w:r>
    </w:p>
    <w:p w14:paraId="0AD096A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7F2FB6AA" w14:textId="77777777" w:rsidR="00000000" w:rsidRPr="0025534A" w:rsidRDefault="000B70A6">
      <w:pPr>
        <w:pStyle w:val="NormalText"/>
        <w:rPr>
          <w:rFonts w:ascii="Palatino Linotype" w:hAnsi="Palatino Linotype"/>
          <w:sz w:val="20"/>
          <w:szCs w:val="20"/>
        </w:rPr>
      </w:pPr>
    </w:p>
    <w:p w14:paraId="647F949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65) Why should ta</w:t>
      </w:r>
      <w:r w:rsidRPr="0025534A">
        <w:rPr>
          <w:rFonts w:ascii="Palatino Linotype" w:hAnsi="Palatino Linotype" w:cs="Palatino Linotype"/>
          <w:sz w:val="20"/>
          <w:szCs w:val="20"/>
        </w:rPr>
        <w:t>x researchers take note of the date on which a Treasury Regulation was adopted?</w:t>
      </w:r>
    </w:p>
    <w:p w14:paraId="0D74300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Researchers should note the date on which a Treasury Regulation was adopted because the IRC may have been revised subsequent to the date of adoption. That is, the regu</w:t>
      </w:r>
      <w:r w:rsidRPr="0025534A">
        <w:rPr>
          <w:rFonts w:ascii="Palatino Linotype" w:hAnsi="Palatino Linotype" w:cs="Palatino Linotype"/>
          <w:sz w:val="20"/>
          <w:szCs w:val="20"/>
        </w:rPr>
        <w:t>lation may not interpret the current version of the IRC. Discrepancies between the IRC and the regulation occur when the Treasury Department has not updated the regulation to reflect the current statute.</w:t>
      </w:r>
    </w:p>
    <w:p w14:paraId="3D629DA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C:1-9 and C:1-10</w:t>
      </w:r>
    </w:p>
    <w:p w14:paraId="0B481E1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68B61D55" w14:textId="77777777" w:rsidR="00000000" w:rsidRPr="0025534A" w:rsidRDefault="000B70A6">
      <w:pPr>
        <w:pStyle w:val="NormalText"/>
        <w:rPr>
          <w:rFonts w:ascii="Palatino Linotype" w:hAnsi="Palatino Linotype"/>
          <w:sz w:val="20"/>
          <w:szCs w:val="20"/>
        </w:rPr>
      </w:pPr>
    </w:p>
    <w:p w14:paraId="2D9037B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66) </w:t>
      </w:r>
      <w:r w:rsidRPr="0025534A">
        <w:rPr>
          <w:rFonts w:ascii="Palatino Linotype" w:hAnsi="Palatino Linotype" w:cs="Palatino Linotype"/>
          <w:sz w:val="20"/>
          <w:szCs w:val="20"/>
        </w:rPr>
        <w:t>Discuss the purposes and scope of temporary regulations.</w:t>
      </w:r>
    </w:p>
    <w:p w14:paraId="10B57E2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Temporary regulations are issued by the Treasury Department after statutory changes have occurred to give guidance with respect to procedural and computational matters. Temporary regulations</w:t>
      </w:r>
      <w:r w:rsidRPr="0025534A">
        <w:rPr>
          <w:rFonts w:ascii="Palatino Linotype" w:hAnsi="Palatino Linotype" w:cs="Palatino Linotype"/>
          <w:sz w:val="20"/>
          <w:szCs w:val="20"/>
        </w:rPr>
        <w:t xml:space="preserve"> are also issued as proposed regulations with the same authoritative value as final regulations.</w:t>
      </w:r>
    </w:p>
    <w:p w14:paraId="1DB4A95B"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C:1-9</w:t>
      </w:r>
    </w:p>
    <w:p w14:paraId="36D1DB1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BCE71FF" w14:textId="77777777" w:rsidR="00000000" w:rsidRPr="0025534A" w:rsidRDefault="000B70A6">
      <w:pPr>
        <w:pStyle w:val="NormalText"/>
        <w:rPr>
          <w:rFonts w:ascii="Palatino Linotype" w:hAnsi="Palatino Linotype"/>
          <w:sz w:val="20"/>
          <w:szCs w:val="20"/>
        </w:rPr>
      </w:pPr>
    </w:p>
    <w:p w14:paraId="29F8146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67) What are the purposes of citations in tax research?</w:t>
      </w:r>
    </w:p>
    <w:p w14:paraId="2D33D2A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Citations serve two purposes. First, they substantiate propos</w:t>
      </w:r>
      <w:r w:rsidRPr="0025534A">
        <w:rPr>
          <w:rFonts w:ascii="Palatino Linotype" w:hAnsi="Palatino Linotype" w:cs="Palatino Linotype"/>
          <w:sz w:val="20"/>
          <w:szCs w:val="20"/>
        </w:rPr>
        <w:t>itions, and second, they enable the reader to locate underlying authority.</w:t>
      </w:r>
    </w:p>
    <w:p w14:paraId="3824B6E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C:1-11</w:t>
      </w:r>
    </w:p>
    <w:p w14:paraId="7389367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71FAA9A6" w14:textId="77777777" w:rsidR="00000000" w:rsidRPr="0025534A" w:rsidRDefault="000B70A6">
      <w:pPr>
        <w:pStyle w:val="NormalText"/>
        <w:rPr>
          <w:rFonts w:ascii="Palatino Linotype" w:hAnsi="Palatino Linotype"/>
          <w:sz w:val="20"/>
          <w:szCs w:val="20"/>
        </w:rPr>
      </w:pPr>
    </w:p>
    <w:p w14:paraId="384B376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68) Are letter rulings of precedential value to third parties?</w:t>
      </w:r>
    </w:p>
    <w:p w14:paraId="3899F64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Not really. A letter ruling is binding only on the taxpayer to whom the rul</w:t>
      </w:r>
      <w:r w:rsidRPr="0025534A">
        <w:rPr>
          <w:rFonts w:ascii="Palatino Linotype" w:hAnsi="Palatino Linotype" w:cs="Palatino Linotype"/>
          <w:sz w:val="20"/>
          <w:szCs w:val="20"/>
        </w:rPr>
        <w:t>ing was issued. However, the rulings can be useful in proving insights as to the IRS opinion about the tax consequences of various transactions.</w:t>
      </w:r>
    </w:p>
    <w:p w14:paraId="058A366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C:1-12 and C:1-13</w:t>
      </w:r>
    </w:p>
    <w:p w14:paraId="2254AAE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52D82AA" w14:textId="77777777" w:rsidR="00000000" w:rsidRPr="0025534A" w:rsidRDefault="000B70A6">
      <w:pPr>
        <w:pStyle w:val="NormalText"/>
        <w:rPr>
          <w:rFonts w:ascii="Palatino Linotype" w:hAnsi="Palatino Linotype"/>
          <w:sz w:val="20"/>
          <w:szCs w:val="20"/>
        </w:rPr>
      </w:pPr>
    </w:p>
    <w:p w14:paraId="5DFA7B5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69) What is the difference between a taxpayer-requested letter rul</w:t>
      </w:r>
      <w:r w:rsidRPr="0025534A">
        <w:rPr>
          <w:rFonts w:ascii="Palatino Linotype" w:hAnsi="Palatino Linotype" w:cs="Palatino Linotype"/>
          <w:sz w:val="20"/>
          <w:szCs w:val="20"/>
        </w:rPr>
        <w:t>ing and a technical advice memorandum issued as a letter ruling?</w:t>
      </w:r>
    </w:p>
    <w:p w14:paraId="6D5997C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 taxpayer-requested letter ruling deals with prospective transactions, whereas a TAM deals with past or consummated transactions.</w:t>
      </w:r>
    </w:p>
    <w:p w14:paraId="2121C1A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C:1-12 and C:1-13</w:t>
      </w:r>
    </w:p>
    <w:p w14:paraId="2710163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F301172" w14:textId="77777777" w:rsidR="00000000" w:rsidRPr="0025534A" w:rsidRDefault="000B70A6">
      <w:pPr>
        <w:pStyle w:val="NormalText"/>
        <w:rPr>
          <w:rFonts w:ascii="Palatino Linotype" w:hAnsi="Palatino Linotype"/>
          <w:sz w:val="20"/>
          <w:szCs w:val="20"/>
        </w:rPr>
      </w:pPr>
    </w:p>
    <w:p w14:paraId="621A0C5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70) Wh</w:t>
      </w:r>
      <w:r w:rsidRPr="0025534A">
        <w:rPr>
          <w:rFonts w:ascii="Palatino Linotype" w:hAnsi="Palatino Linotype" w:cs="Palatino Linotype"/>
          <w:sz w:val="20"/>
          <w:szCs w:val="20"/>
        </w:rPr>
        <w:t>at is an information release?</w:t>
      </w:r>
    </w:p>
    <w:p w14:paraId="1C5956B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The IRS issues information releases when it wants to release information to the general public. They are written in lay terms and are sent to thousands of newspapers throughout the country.</w:t>
      </w:r>
    </w:p>
    <w:p w14:paraId="2A60081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C:1-13</w:t>
      </w:r>
    </w:p>
    <w:p w14:paraId="412325E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w:t>
      </w:r>
      <w:r w:rsidRPr="0025534A">
        <w:rPr>
          <w:rFonts w:ascii="Palatino Linotype" w:hAnsi="Palatino Linotype"/>
          <w:sz w:val="20"/>
          <w:szCs w:val="20"/>
        </w:rPr>
        <w:t>e:  4</w:t>
      </w:r>
    </w:p>
    <w:p w14:paraId="7C712C89" w14:textId="77777777" w:rsidR="00000000" w:rsidRPr="0025534A" w:rsidRDefault="000B70A6">
      <w:pPr>
        <w:pStyle w:val="NormalText"/>
        <w:rPr>
          <w:rFonts w:ascii="Palatino Linotype" w:hAnsi="Palatino Linotype"/>
          <w:sz w:val="20"/>
          <w:szCs w:val="20"/>
        </w:rPr>
      </w:pPr>
    </w:p>
    <w:p w14:paraId="1CC6710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71) What are some of the factors to consider when deciding in which court to file a tax-related claim?</w:t>
      </w:r>
    </w:p>
    <w:p w14:paraId="03EA7A0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Factors to consider include each court's published precedents pertaining to the issue; the desirability of a jury trial; the tax expertis</w:t>
      </w:r>
      <w:r w:rsidRPr="0025534A">
        <w:rPr>
          <w:rFonts w:ascii="Palatino Linotype" w:hAnsi="Palatino Linotype" w:cs="Palatino Linotype"/>
          <w:sz w:val="20"/>
          <w:szCs w:val="20"/>
        </w:rPr>
        <w:t>e of each court; the effect on the taxpayer's cash flow.</w:t>
      </w:r>
    </w:p>
    <w:p w14:paraId="555719C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C:1-14 and C:1-15</w:t>
      </w:r>
    </w:p>
    <w:p w14:paraId="0984E7F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4AC30408" w14:textId="77777777" w:rsidR="00000000" w:rsidRPr="0025534A" w:rsidRDefault="000B70A6">
      <w:pPr>
        <w:pStyle w:val="NormalText"/>
        <w:rPr>
          <w:rFonts w:ascii="Palatino Linotype" w:hAnsi="Palatino Linotype"/>
          <w:sz w:val="20"/>
          <w:szCs w:val="20"/>
        </w:rPr>
      </w:pPr>
    </w:p>
    <w:p w14:paraId="367E8DE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72) What are some of the consequences of the small cases procedure of the Tax Court?</w:t>
      </w:r>
    </w:p>
    <w:p w14:paraId="3017DA4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w:t>
      </w:r>
      <w:r w:rsidRPr="0025534A">
        <w:rPr>
          <w:rFonts w:ascii="Palatino Linotype" w:hAnsi="Palatino Linotype" w:cs="Palatino Linotype"/>
          <w:sz w:val="20"/>
          <w:szCs w:val="20"/>
        </w:rPr>
        <w:t>The small cases procedure allows a taxpayer the advantage of having a day in court without the expense of an attorney. But if the taxpayer loses, the decision cannot be appealed.</w:t>
      </w:r>
    </w:p>
    <w:p w14:paraId="1E1E729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C:1-17</w:t>
      </w:r>
    </w:p>
    <w:p w14:paraId="111F1B0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715C5492" w14:textId="77777777" w:rsidR="00000000" w:rsidRPr="0025534A" w:rsidRDefault="000B70A6">
      <w:pPr>
        <w:pStyle w:val="NormalText"/>
        <w:rPr>
          <w:rFonts w:ascii="Palatino Linotype" w:hAnsi="Palatino Linotype"/>
          <w:sz w:val="20"/>
          <w:szCs w:val="20"/>
        </w:rPr>
      </w:pPr>
    </w:p>
    <w:p w14:paraId="7E25695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73) Where must a tax researcher look to acc</w:t>
      </w:r>
      <w:r w:rsidRPr="0025534A">
        <w:rPr>
          <w:rFonts w:ascii="Palatino Linotype" w:hAnsi="Palatino Linotype" w:cs="Palatino Linotype"/>
          <w:sz w:val="20"/>
          <w:szCs w:val="20"/>
        </w:rPr>
        <w:t>ess all Tax Court cases?</w:t>
      </w:r>
    </w:p>
    <w:p w14:paraId="7C47E63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The regular opinions are found in the Tax Court of the United States Reporter, published by the U.S. Government Printing Office, and the memo decisions are published by both RIA and CCH in their own court reporters.</w:t>
      </w:r>
    </w:p>
    <w:p w14:paraId="6D58505B"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w:t>
      </w:r>
      <w:r w:rsidRPr="0025534A">
        <w:rPr>
          <w:rFonts w:ascii="Palatino Linotype" w:hAnsi="Palatino Linotype"/>
          <w:sz w:val="20"/>
          <w:szCs w:val="20"/>
        </w:rPr>
        <w:t>ef.:  C:1-17</w:t>
      </w:r>
    </w:p>
    <w:p w14:paraId="700F94B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0C817DB" w14:textId="77777777" w:rsidR="00000000" w:rsidRPr="0025534A" w:rsidRDefault="000B70A6">
      <w:pPr>
        <w:pStyle w:val="NormalText"/>
        <w:rPr>
          <w:rFonts w:ascii="Palatino Linotype" w:hAnsi="Palatino Linotype"/>
          <w:sz w:val="20"/>
          <w:szCs w:val="20"/>
        </w:rPr>
      </w:pPr>
    </w:p>
    <w:p w14:paraId="3747E00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74) Is it possible for the Tax Court to intentionally issue conflicting decisions?</w:t>
      </w:r>
    </w:p>
    <w:p w14:paraId="5B6A8AF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Yes. If the Tax Court is issuing two decisions that are appealable to different circuit courts and these circuit courts have previously </w:t>
      </w:r>
      <w:r w:rsidRPr="0025534A">
        <w:rPr>
          <w:rFonts w:ascii="Palatino Linotype" w:hAnsi="Palatino Linotype" w:cs="Palatino Linotype"/>
          <w:sz w:val="20"/>
          <w:szCs w:val="20"/>
        </w:rPr>
        <w:t xml:space="preserve">reached different conclusions on the issue, the Tax Court follows the respective precedent in each circuit and issues conflicting decisions. This is a result of the </w:t>
      </w:r>
      <w:r w:rsidRPr="0025534A">
        <w:rPr>
          <w:rFonts w:ascii="Palatino Linotype" w:hAnsi="Palatino Linotype" w:cs="Palatino Linotype"/>
          <w:sz w:val="20"/>
          <w:szCs w:val="20"/>
          <w:u w:val="single"/>
        </w:rPr>
        <w:t>Golsen</w:t>
      </w:r>
      <w:r w:rsidRPr="0025534A">
        <w:rPr>
          <w:rFonts w:ascii="Palatino Linotype" w:hAnsi="Palatino Linotype" w:cs="Palatino Linotype"/>
          <w:sz w:val="20"/>
          <w:szCs w:val="20"/>
        </w:rPr>
        <w:t xml:space="preserve"> rule.</w:t>
      </w:r>
    </w:p>
    <w:p w14:paraId="216118F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C:1-21</w:t>
      </w:r>
    </w:p>
    <w:p w14:paraId="2506A3C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AC5D50D" w14:textId="77777777" w:rsidR="00000000" w:rsidRPr="0025534A" w:rsidRDefault="000B70A6">
      <w:pPr>
        <w:pStyle w:val="NormalText"/>
        <w:rPr>
          <w:rFonts w:ascii="Palatino Linotype" w:hAnsi="Palatino Linotype"/>
          <w:sz w:val="20"/>
          <w:szCs w:val="20"/>
        </w:rPr>
      </w:pPr>
    </w:p>
    <w:p w14:paraId="628AF95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75) The Tax Court decides an expenditure is </w:t>
      </w:r>
      <w:r w:rsidRPr="0025534A">
        <w:rPr>
          <w:rFonts w:ascii="Palatino Linotype" w:hAnsi="Palatino Linotype" w:cs="Palatino Linotype"/>
          <w:sz w:val="20"/>
          <w:szCs w:val="20"/>
        </w:rPr>
        <w:t>deductible in the year the issue was first litigated. The government appealed and won a reversal in the Ninth Circuit Court of Appeals. It is the only appellate decision regarding the issue. If and when the Tax Court encounters this issue again, how will i</w:t>
      </w:r>
      <w:r w:rsidRPr="0025534A">
        <w:rPr>
          <w:rFonts w:ascii="Palatino Linotype" w:hAnsi="Palatino Linotype" w:cs="Palatino Linotype"/>
          <w:sz w:val="20"/>
          <w:szCs w:val="20"/>
        </w:rPr>
        <w:t>t hold?</w:t>
      </w:r>
    </w:p>
    <w:p w14:paraId="088C392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The Tax Court will hold that the expenditure is deductible except in the Ninth Circuit. The taxpayers in the Ninth Circuit will be denied the deduction.</w:t>
      </w:r>
    </w:p>
    <w:p w14:paraId="0678552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C:1-21; Example C:1-8</w:t>
      </w:r>
    </w:p>
    <w:p w14:paraId="5167421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15F1113" w14:textId="77777777" w:rsidR="00000000" w:rsidRPr="0025534A" w:rsidRDefault="000B70A6">
      <w:pPr>
        <w:pStyle w:val="NormalText"/>
        <w:rPr>
          <w:rFonts w:ascii="Palatino Linotype" w:hAnsi="Palatino Linotype"/>
          <w:sz w:val="20"/>
          <w:szCs w:val="20"/>
        </w:rPr>
      </w:pPr>
    </w:p>
    <w:p w14:paraId="371EB98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76) Indicate which courts decided the</w:t>
      </w:r>
      <w:r w:rsidRPr="0025534A">
        <w:rPr>
          <w:rFonts w:ascii="Palatino Linotype" w:hAnsi="Palatino Linotype" w:cs="Palatino Linotype"/>
          <w:sz w:val="20"/>
          <w:szCs w:val="20"/>
        </w:rPr>
        <w:t xml:space="preserve"> case cited below. Also indicate on which pages and in which publications the authority is reported.</w:t>
      </w:r>
    </w:p>
    <w:p w14:paraId="30C04FA7" w14:textId="77777777" w:rsidR="00000000" w:rsidRPr="0025534A" w:rsidRDefault="000B70A6">
      <w:pPr>
        <w:pStyle w:val="NormalText"/>
        <w:rPr>
          <w:rFonts w:ascii="Palatino Linotype" w:hAnsi="Palatino Linotype" w:cs="Palatino Linotype"/>
          <w:sz w:val="20"/>
          <w:szCs w:val="20"/>
        </w:rPr>
      </w:pPr>
    </w:p>
    <w:p w14:paraId="5CBC964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i/>
          <w:iCs/>
          <w:sz w:val="20"/>
          <w:szCs w:val="20"/>
        </w:rPr>
        <w:t>U.S. v. Maclin P. Davis</w:t>
      </w:r>
      <w:r w:rsidRPr="0025534A">
        <w:rPr>
          <w:rFonts w:ascii="Palatino Linotype" w:hAnsi="Palatino Linotype" w:cs="Palatino Linotype"/>
          <w:sz w:val="20"/>
          <w:szCs w:val="20"/>
        </w:rPr>
        <w:t>, 397 U.S. 301, 25 AFTR 2d 70-827, 70-1 USTC &amp; 9289 (1970).</w:t>
      </w:r>
    </w:p>
    <w:p w14:paraId="49DE0F1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This case appears in Vol. 397, page 301, of the </w:t>
      </w:r>
      <w:r w:rsidRPr="0025534A">
        <w:rPr>
          <w:rFonts w:ascii="Palatino Linotype" w:hAnsi="Palatino Linotype" w:cs="Palatino Linotype"/>
          <w:sz w:val="20"/>
          <w:szCs w:val="20"/>
          <w:u w:val="single"/>
        </w:rPr>
        <w:t xml:space="preserve">United States </w:t>
      </w:r>
      <w:r w:rsidRPr="0025534A">
        <w:rPr>
          <w:rFonts w:ascii="Palatino Linotype" w:hAnsi="Palatino Linotype" w:cs="Palatino Linotype"/>
          <w:sz w:val="20"/>
          <w:szCs w:val="20"/>
          <w:u w:val="single"/>
        </w:rPr>
        <w:t>Supreme Court Reports</w:t>
      </w:r>
      <w:r w:rsidRPr="0025534A">
        <w:rPr>
          <w:rFonts w:ascii="Palatino Linotype" w:hAnsi="Palatino Linotype" w:cs="Palatino Linotype"/>
          <w:sz w:val="20"/>
          <w:szCs w:val="20"/>
        </w:rPr>
        <w:t xml:space="preserve">. It is also recorded in Vol. 25, pages 70-827, of the </w:t>
      </w:r>
      <w:r w:rsidRPr="0025534A">
        <w:rPr>
          <w:rFonts w:ascii="Palatino Linotype" w:hAnsi="Palatino Linotype" w:cs="Palatino Linotype"/>
          <w:sz w:val="20"/>
          <w:szCs w:val="20"/>
          <w:u w:val="single"/>
        </w:rPr>
        <w:t>American Federal Tax Reports</w:t>
      </w:r>
      <w:r w:rsidRPr="0025534A">
        <w:rPr>
          <w:rFonts w:ascii="Palatino Linotype" w:hAnsi="Palatino Linotype" w:cs="Palatino Linotype"/>
          <w:sz w:val="20"/>
          <w:szCs w:val="20"/>
        </w:rPr>
        <w:t xml:space="preserve">, Second Series, and in Vol. 1, paragraph 9289 of the 1970 CCH reporter the </w:t>
      </w:r>
      <w:r w:rsidRPr="0025534A">
        <w:rPr>
          <w:rFonts w:ascii="Palatino Linotype" w:hAnsi="Palatino Linotype" w:cs="Palatino Linotype"/>
          <w:sz w:val="20"/>
          <w:szCs w:val="20"/>
          <w:u w:val="single"/>
        </w:rPr>
        <w:t>U.S. Tax Cases</w:t>
      </w:r>
      <w:r w:rsidRPr="0025534A">
        <w:rPr>
          <w:rFonts w:ascii="Palatino Linotype" w:hAnsi="Palatino Linotype" w:cs="Palatino Linotype"/>
          <w:sz w:val="20"/>
          <w:szCs w:val="20"/>
        </w:rPr>
        <w:t>.</w:t>
      </w:r>
    </w:p>
    <w:p w14:paraId="66F6A5E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C:1-21</w:t>
      </w:r>
    </w:p>
    <w:p w14:paraId="1F4744A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C212A7D" w14:textId="77777777" w:rsidR="00000000" w:rsidRPr="0025534A" w:rsidRDefault="000B70A6">
      <w:pPr>
        <w:pStyle w:val="NormalText"/>
        <w:rPr>
          <w:rFonts w:ascii="Palatino Linotype" w:hAnsi="Palatino Linotype"/>
          <w:sz w:val="20"/>
          <w:szCs w:val="20"/>
        </w:rPr>
      </w:pPr>
    </w:p>
    <w:p w14:paraId="4C5F3682"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F67A7E4" w14:textId="6EDA6B9C"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77) </w:t>
      </w:r>
      <w:r w:rsidRPr="0025534A">
        <w:rPr>
          <w:rFonts w:ascii="Palatino Linotype" w:hAnsi="Palatino Linotype" w:cs="Palatino Linotype"/>
          <w:sz w:val="20"/>
          <w:szCs w:val="20"/>
        </w:rPr>
        <w:t>If the U.S. District Court for Rhode Island, the Tax Court, and the Eleventh Circuit have all ruled on a particular issue, then what precedents have been set for which courts in the future?</w:t>
      </w:r>
    </w:p>
    <w:p w14:paraId="76A0D5A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Any U.S. District court within the Eleventh Circuit must </w:t>
      </w:r>
      <w:r w:rsidRPr="0025534A">
        <w:rPr>
          <w:rFonts w:ascii="Palatino Linotype" w:hAnsi="Palatino Linotype" w:cs="Palatino Linotype"/>
          <w:sz w:val="20"/>
          <w:szCs w:val="20"/>
        </w:rPr>
        <w:t xml:space="preserve">follow that circuit's decision. The U.S. District Court for Rhode Island must rule consistently with its previous ruling. Tax Court decisions are not binding on district courts, thus all district courts other than the one for Rhode Island and those in the </w:t>
      </w:r>
      <w:r w:rsidRPr="0025534A">
        <w:rPr>
          <w:rFonts w:ascii="Palatino Linotype" w:hAnsi="Palatino Linotype" w:cs="Palatino Linotype"/>
          <w:sz w:val="20"/>
          <w:szCs w:val="20"/>
        </w:rPr>
        <w:t>Eleventh Circuit are free to decide the issue independently.</w:t>
      </w:r>
    </w:p>
    <w:p w14:paraId="1331636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C:1-21; Example C:1-9</w:t>
      </w:r>
    </w:p>
    <w:p w14:paraId="68BE2F8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6331CC65" w14:textId="77777777" w:rsidR="00000000" w:rsidRPr="0025534A" w:rsidRDefault="000B70A6">
      <w:pPr>
        <w:pStyle w:val="NormalText"/>
        <w:rPr>
          <w:rFonts w:ascii="Palatino Linotype" w:hAnsi="Palatino Linotype"/>
          <w:sz w:val="20"/>
          <w:szCs w:val="20"/>
        </w:rPr>
      </w:pPr>
    </w:p>
    <w:p w14:paraId="087B18A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78) What is "forum-shopping"?</w:t>
      </w:r>
    </w:p>
    <w:p w14:paraId="756EAAD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Forum-shopping involves choosing where among the various courts to file a lawsuit. Since courts often disag</w:t>
      </w:r>
      <w:r w:rsidRPr="0025534A">
        <w:rPr>
          <w:rFonts w:ascii="Palatino Linotype" w:hAnsi="Palatino Linotype" w:cs="Palatino Linotype"/>
          <w:sz w:val="20"/>
          <w:szCs w:val="20"/>
        </w:rPr>
        <w:t>ree as to the appropriate tax treatment of the same item, a taxpayer can file in the jurisdiction that has precedents that favor his circumstances.</w:t>
      </w:r>
    </w:p>
    <w:p w14:paraId="319C0B7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C:1-23</w:t>
      </w:r>
    </w:p>
    <w:p w14:paraId="4A6F96BD"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35F69C57" w14:textId="77777777" w:rsidR="00000000" w:rsidRPr="0025534A" w:rsidRDefault="000B70A6">
      <w:pPr>
        <w:pStyle w:val="NormalText"/>
        <w:rPr>
          <w:rFonts w:ascii="Palatino Linotype" w:hAnsi="Palatino Linotype"/>
          <w:sz w:val="20"/>
          <w:szCs w:val="20"/>
        </w:rPr>
      </w:pPr>
    </w:p>
    <w:p w14:paraId="50D87A9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79) Under what circumstances might a tax advisor find the provisions of a </w:t>
      </w:r>
      <w:r w:rsidRPr="0025534A">
        <w:rPr>
          <w:rFonts w:ascii="Palatino Linotype" w:hAnsi="Palatino Linotype" w:cs="Palatino Linotype"/>
          <w:sz w:val="20"/>
          <w:szCs w:val="20"/>
        </w:rPr>
        <w:t>tax treaty useful?</w:t>
      </w:r>
    </w:p>
    <w:p w14:paraId="1BE4BE0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 tax advisor might consult the provisions of a tax treaty if a U.S. taxpayer engages in transactions in a foreign country. The United States has tax treaties with about 55 countries.</w:t>
      </w:r>
    </w:p>
    <w:p w14:paraId="315B59C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C:1-24</w:t>
      </w:r>
    </w:p>
    <w:p w14:paraId="1890007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676E682F" w14:textId="77777777" w:rsidR="00000000" w:rsidRPr="0025534A" w:rsidRDefault="000B70A6">
      <w:pPr>
        <w:pStyle w:val="NormalText"/>
        <w:rPr>
          <w:rFonts w:ascii="Palatino Linotype" w:hAnsi="Palatino Linotype"/>
          <w:sz w:val="20"/>
          <w:szCs w:val="20"/>
        </w:rPr>
      </w:pPr>
    </w:p>
    <w:p w14:paraId="119FD18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80) Compar</w:t>
      </w:r>
      <w:r w:rsidRPr="0025534A">
        <w:rPr>
          <w:rFonts w:ascii="Palatino Linotype" w:hAnsi="Palatino Linotype" w:cs="Palatino Linotype"/>
          <w:sz w:val="20"/>
          <w:szCs w:val="20"/>
        </w:rPr>
        <w:t>e and contrast proposed, temporary, and final regulations.</w:t>
      </w:r>
    </w:p>
    <w:p w14:paraId="3B36FF7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Proposed regulations are not authoritative, but they do provide guidance concerning how the Treasury Department interprets the IRC. Temporary regulations, which have the same effect as fin</w:t>
      </w:r>
      <w:r w:rsidRPr="0025534A">
        <w:rPr>
          <w:rFonts w:ascii="Palatino Linotype" w:hAnsi="Palatino Linotype" w:cs="Palatino Linotype"/>
          <w:sz w:val="20"/>
          <w:szCs w:val="20"/>
        </w:rPr>
        <w:t xml:space="preserve">al regulations, often are issued after major revisions to the IRC so that taxpayers and tax advisers will have guidance concerning procedural and/or computational matters. Final regulations, which are issued after the public has had time to comment on the </w:t>
      </w:r>
      <w:r w:rsidRPr="0025534A">
        <w:rPr>
          <w:rFonts w:ascii="Palatino Linotype" w:hAnsi="Palatino Linotype" w:cs="Palatino Linotype"/>
          <w:sz w:val="20"/>
          <w:szCs w:val="20"/>
        </w:rPr>
        <w:t>proposed regulations, have nearly the same authoritative weight as the IRC.</w:t>
      </w:r>
    </w:p>
    <w:p w14:paraId="47F2572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C:1-9</w:t>
      </w:r>
    </w:p>
    <w:p w14:paraId="37059F5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6DBE032C" w14:textId="77777777" w:rsidR="00000000" w:rsidRPr="0025534A" w:rsidRDefault="000B70A6">
      <w:pPr>
        <w:pStyle w:val="NormalText"/>
        <w:rPr>
          <w:rFonts w:ascii="Palatino Linotype" w:hAnsi="Palatino Linotype"/>
          <w:sz w:val="20"/>
          <w:szCs w:val="20"/>
        </w:rPr>
      </w:pPr>
    </w:p>
    <w:p w14:paraId="2D8CAEE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81) Compare and contrast "interpretative" and "statutory" regulations.</w:t>
      </w:r>
    </w:p>
    <w:p w14:paraId="091E16B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Both types of regulations are issued by the Treasury Department. In</w:t>
      </w:r>
      <w:r w:rsidRPr="0025534A">
        <w:rPr>
          <w:rFonts w:ascii="Palatino Linotype" w:hAnsi="Palatino Linotype" w:cs="Palatino Linotype"/>
          <w:sz w:val="20"/>
          <w:szCs w:val="20"/>
        </w:rPr>
        <w:t>terpretative regulations make the statutory language easier to understand and apply. Statutory regulations are issued when Congress delegates its rule-making authority to the Treasury Department. This delegation of authority is made explicitly in the legis</w:t>
      </w:r>
      <w:r w:rsidRPr="0025534A">
        <w:rPr>
          <w:rFonts w:ascii="Palatino Linotype" w:hAnsi="Palatino Linotype" w:cs="Palatino Linotype"/>
          <w:sz w:val="20"/>
          <w:szCs w:val="20"/>
        </w:rPr>
        <w:t>lation.</w:t>
      </w:r>
    </w:p>
    <w:p w14:paraId="6259C1DE" w14:textId="77777777" w:rsidR="00000000" w:rsidRPr="0025534A" w:rsidRDefault="000B70A6">
      <w:pPr>
        <w:pStyle w:val="NormalText"/>
        <w:rPr>
          <w:rFonts w:ascii="Palatino Linotype" w:hAnsi="Palatino Linotype" w:cs="Palatino Linotype"/>
          <w:sz w:val="20"/>
          <w:szCs w:val="20"/>
        </w:rPr>
      </w:pPr>
    </w:p>
    <w:p w14:paraId="286F509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The courts are less likely to invalidate a statutory regulation than an interpretative regulation. The reluctance of the court to invalidate a statutory regulation is based on the recognition that Congress has abdicated its rule-making authority t</w:t>
      </w:r>
      <w:r w:rsidRPr="0025534A">
        <w:rPr>
          <w:rFonts w:ascii="Palatino Linotype" w:hAnsi="Palatino Linotype" w:cs="Palatino Linotype"/>
          <w:sz w:val="20"/>
          <w:szCs w:val="20"/>
        </w:rPr>
        <w:t>o the Treasury Department.</w:t>
      </w:r>
    </w:p>
    <w:p w14:paraId="5174979D"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C:1-10</w:t>
      </w:r>
    </w:p>
    <w:p w14:paraId="00E9303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0CEA663A" w14:textId="77777777" w:rsidR="00000000" w:rsidRPr="0025534A" w:rsidRDefault="000B70A6">
      <w:pPr>
        <w:pStyle w:val="NormalText"/>
        <w:rPr>
          <w:rFonts w:ascii="Palatino Linotype" w:hAnsi="Palatino Linotype"/>
          <w:sz w:val="20"/>
          <w:szCs w:val="20"/>
        </w:rPr>
      </w:pPr>
    </w:p>
    <w:p w14:paraId="4E8A1F28"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76068CF" w14:textId="7BBAF65C"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82) Explain the legislative reenactment doctrine.</w:t>
      </w:r>
    </w:p>
    <w:p w14:paraId="68A192D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w:t>
      </w:r>
      <w:r w:rsidRPr="0025534A">
        <w:rPr>
          <w:rFonts w:ascii="Palatino Linotype" w:hAnsi="Palatino Linotype" w:cs="Palatino Linotype"/>
          <w:sz w:val="20"/>
          <w:szCs w:val="20"/>
        </w:rPr>
        <w:t xml:space="preserve">Under the legislative reenactment doctrine, a Treasury Regulation is deemed to have been endorsed by Congress if the regulation was finalized before a related IRC provision was enacted, and during the interim, Congress did not amend the provision to which </w:t>
      </w:r>
      <w:r w:rsidRPr="0025534A">
        <w:rPr>
          <w:rFonts w:ascii="Palatino Linotype" w:hAnsi="Palatino Linotype" w:cs="Palatino Linotype"/>
          <w:sz w:val="20"/>
          <w:szCs w:val="20"/>
        </w:rPr>
        <w:t>the regulation relates.</w:t>
      </w:r>
    </w:p>
    <w:p w14:paraId="198B4F2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C:1-10</w:t>
      </w:r>
    </w:p>
    <w:p w14:paraId="10689C3B"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183E5017" w14:textId="77777777" w:rsidR="00000000" w:rsidRPr="0025534A" w:rsidRDefault="000B70A6">
      <w:pPr>
        <w:pStyle w:val="NormalText"/>
        <w:rPr>
          <w:rFonts w:ascii="Palatino Linotype" w:hAnsi="Palatino Linotype"/>
          <w:sz w:val="20"/>
          <w:szCs w:val="20"/>
        </w:rPr>
      </w:pPr>
    </w:p>
    <w:p w14:paraId="29932ED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83) In which courts may litigation dealing with tax matters begin? Discuss the factors that might be considered in deciding where to begin litigation.</w:t>
      </w:r>
    </w:p>
    <w:p w14:paraId="0E79AA1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The Tax Court, the U.S. Court of Feder</w:t>
      </w:r>
      <w:r w:rsidRPr="0025534A">
        <w:rPr>
          <w:rFonts w:ascii="Palatino Linotype" w:hAnsi="Palatino Linotype" w:cs="Palatino Linotype"/>
          <w:sz w:val="20"/>
          <w:szCs w:val="20"/>
        </w:rPr>
        <w:t>al Claims, or the U.S. district court for the taxpayer's jurisdiction is where tax-related litigation may begin. The taxpayer would be interested in the precedent, if any, existing within each jurisdiction. The taxpayer might prefer to avoid parting with c</w:t>
      </w:r>
      <w:r w:rsidRPr="0025534A">
        <w:rPr>
          <w:rFonts w:ascii="Palatino Linotype" w:hAnsi="Palatino Linotype" w:cs="Palatino Linotype"/>
          <w:sz w:val="20"/>
          <w:szCs w:val="20"/>
        </w:rPr>
        <w:t>ash to pay the proposed deficiency. If so, the taxpayer would want to litigate in the Tax Court. If the taxpayer would like to have a jury trial address questions of fact, he or she should opt for the U.S. district court.</w:t>
      </w:r>
    </w:p>
    <w:p w14:paraId="6C7E9A4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C:1-14 and C:1-15</w:t>
      </w:r>
    </w:p>
    <w:p w14:paraId="4FF18DE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w:t>
      </w:r>
      <w:r w:rsidRPr="0025534A">
        <w:rPr>
          <w:rFonts w:ascii="Palatino Linotype" w:hAnsi="Palatino Linotype"/>
          <w:sz w:val="20"/>
          <w:szCs w:val="20"/>
        </w:rPr>
        <w:t>ctive:  4</w:t>
      </w:r>
    </w:p>
    <w:p w14:paraId="00DDB75B" w14:textId="77777777" w:rsidR="00000000" w:rsidRPr="0025534A" w:rsidRDefault="000B70A6">
      <w:pPr>
        <w:pStyle w:val="NormalText"/>
        <w:rPr>
          <w:rFonts w:ascii="Palatino Linotype" w:hAnsi="Palatino Linotype"/>
          <w:sz w:val="20"/>
          <w:szCs w:val="20"/>
        </w:rPr>
      </w:pPr>
    </w:p>
    <w:p w14:paraId="54CFC8C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84) Describe the appeals process in tax litigation.</w:t>
      </w:r>
    </w:p>
    <w:p w14:paraId="4255F59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Appeals from Tax Court and U.S. district court decisions are made to the circuit court of appeals for the taxpayer's jurisdiction. U.S. Court of Federal Claims decisions are appealable</w:t>
      </w:r>
      <w:r w:rsidRPr="0025534A">
        <w:rPr>
          <w:rFonts w:ascii="Palatino Linotype" w:hAnsi="Palatino Linotype" w:cs="Palatino Linotype"/>
          <w:sz w:val="20"/>
          <w:szCs w:val="20"/>
        </w:rPr>
        <w:t xml:space="preserve"> to the circuit court of appeals for the Federal Circuit. Appeals from any of the circuit courts of appeals may be brought to the U.S. Supreme Court.</w:t>
      </w:r>
    </w:p>
    <w:p w14:paraId="76BADCB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C:1-14 and C:1-15</w:t>
      </w:r>
    </w:p>
    <w:p w14:paraId="79B17FC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97F59A5" w14:textId="77777777" w:rsidR="00000000" w:rsidRPr="0025534A" w:rsidRDefault="000B70A6">
      <w:pPr>
        <w:pStyle w:val="NormalText"/>
        <w:rPr>
          <w:rFonts w:ascii="Palatino Linotype" w:hAnsi="Palatino Linotype"/>
          <w:sz w:val="20"/>
          <w:szCs w:val="20"/>
        </w:rPr>
      </w:pPr>
    </w:p>
    <w:p w14:paraId="159EE7E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85) Discuss the differences and similarities between regular </w:t>
      </w:r>
      <w:r w:rsidRPr="0025534A">
        <w:rPr>
          <w:rFonts w:ascii="Palatino Linotype" w:hAnsi="Palatino Linotype" w:cs="Palatino Linotype"/>
          <w:sz w:val="20"/>
          <w:szCs w:val="20"/>
        </w:rPr>
        <w:t>and memorandum decisions issued by the U.S. Tax Court.</w:t>
      </w:r>
    </w:p>
    <w:p w14:paraId="0C3293E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Differences:</w:t>
      </w:r>
    </w:p>
    <w:p w14:paraId="0B600338" w14:textId="77777777" w:rsidR="00000000" w:rsidRPr="0025534A" w:rsidRDefault="000B70A6">
      <w:pPr>
        <w:pStyle w:val="NormalText"/>
        <w:tabs>
          <w:tab w:val="left" w:pos="340"/>
        </w:tabs>
        <w:rPr>
          <w:rFonts w:ascii="Palatino Linotype" w:hAnsi="Palatino Linotype" w:cs="Palatino Linotype"/>
          <w:sz w:val="20"/>
          <w:szCs w:val="20"/>
        </w:rPr>
      </w:pPr>
      <w:r w:rsidRPr="0025534A">
        <w:rPr>
          <w:rFonts w:ascii="Palatino Linotype" w:hAnsi="Palatino Linotype" w:cs="Palatino Linotype"/>
          <w:sz w:val="20"/>
          <w:szCs w:val="20"/>
        </w:rPr>
        <w:t>1)</w:t>
      </w:r>
      <w:r w:rsidRPr="0025534A">
        <w:rPr>
          <w:rFonts w:ascii="Palatino Linotype" w:hAnsi="Palatino Linotype" w:cs="Palatino Linotype"/>
          <w:sz w:val="20"/>
          <w:szCs w:val="20"/>
        </w:rPr>
        <w:tab/>
        <w:t>Regular decisions involve an issue decided for the first time. A memorandum decision frequently involves a variation in the facts for an issue where the law has been previously</w:t>
      </w:r>
      <w:r w:rsidRPr="0025534A">
        <w:rPr>
          <w:rFonts w:ascii="Palatino Linotype" w:hAnsi="Palatino Linotype" w:cs="Palatino Linotype"/>
          <w:sz w:val="20"/>
          <w:szCs w:val="20"/>
        </w:rPr>
        <w:t xml:space="preserve"> decided.</w:t>
      </w:r>
    </w:p>
    <w:p w14:paraId="7D684512" w14:textId="77777777" w:rsidR="00000000" w:rsidRPr="0025534A" w:rsidRDefault="000B70A6">
      <w:pPr>
        <w:pStyle w:val="NormalText"/>
        <w:tabs>
          <w:tab w:val="left" w:pos="340"/>
        </w:tabs>
        <w:rPr>
          <w:rFonts w:ascii="Palatino Linotype" w:hAnsi="Palatino Linotype" w:cs="Palatino Linotype"/>
          <w:sz w:val="20"/>
          <w:szCs w:val="20"/>
        </w:rPr>
      </w:pPr>
      <w:r w:rsidRPr="0025534A">
        <w:rPr>
          <w:rFonts w:ascii="Palatino Linotype" w:hAnsi="Palatino Linotype" w:cs="Palatino Linotype"/>
          <w:sz w:val="20"/>
          <w:szCs w:val="20"/>
        </w:rPr>
        <w:t>2)</w:t>
      </w:r>
      <w:r w:rsidRPr="0025534A">
        <w:rPr>
          <w:rFonts w:ascii="Palatino Linotype" w:hAnsi="Palatino Linotype" w:cs="Palatino Linotype"/>
          <w:sz w:val="20"/>
          <w:szCs w:val="20"/>
        </w:rPr>
        <w:tab/>
        <w:t>The IRS's acquiescence policy extends to regular decisions but not to memorandum decisions.</w:t>
      </w:r>
    </w:p>
    <w:p w14:paraId="242EB98E" w14:textId="77777777" w:rsidR="00000000" w:rsidRPr="0025534A" w:rsidRDefault="000B70A6">
      <w:pPr>
        <w:pStyle w:val="NormalText"/>
        <w:tabs>
          <w:tab w:val="left" w:pos="340"/>
        </w:tabs>
        <w:rPr>
          <w:rFonts w:ascii="Palatino Linotype" w:hAnsi="Palatino Linotype" w:cs="Palatino Linotype"/>
          <w:sz w:val="20"/>
          <w:szCs w:val="20"/>
        </w:rPr>
      </w:pPr>
      <w:r w:rsidRPr="0025534A">
        <w:rPr>
          <w:rFonts w:ascii="Palatino Linotype" w:hAnsi="Palatino Linotype" w:cs="Palatino Linotype"/>
          <w:sz w:val="20"/>
          <w:szCs w:val="20"/>
        </w:rPr>
        <w:t>3)</w:t>
      </w:r>
      <w:r w:rsidRPr="0025534A">
        <w:rPr>
          <w:rFonts w:ascii="Palatino Linotype" w:hAnsi="Palatino Linotype" w:cs="Palatino Linotype"/>
          <w:sz w:val="20"/>
          <w:szCs w:val="20"/>
        </w:rPr>
        <w:tab/>
        <w:t xml:space="preserve">Regular decisions are published by the U.S. Government Printing Office in the </w:t>
      </w:r>
      <w:r w:rsidRPr="0025534A">
        <w:rPr>
          <w:rFonts w:ascii="Palatino Linotype" w:hAnsi="Palatino Linotype" w:cs="Palatino Linotype"/>
          <w:sz w:val="20"/>
          <w:szCs w:val="20"/>
          <w:u w:val="single"/>
        </w:rPr>
        <w:t>Tax Court of the United States Reports</w:t>
      </w:r>
      <w:r w:rsidRPr="0025534A">
        <w:rPr>
          <w:rFonts w:ascii="Palatino Linotype" w:hAnsi="Palatino Linotype" w:cs="Palatino Linotype"/>
          <w:sz w:val="20"/>
          <w:szCs w:val="20"/>
        </w:rPr>
        <w:t>, while memorandum decisions are</w:t>
      </w:r>
      <w:r w:rsidRPr="0025534A">
        <w:rPr>
          <w:rFonts w:ascii="Palatino Linotype" w:hAnsi="Palatino Linotype" w:cs="Palatino Linotype"/>
          <w:sz w:val="20"/>
          <w:szCs w:val="20"/>
        </w:rPr>
        <w:t xml:space="preserve"> published by private companies.</w:t>
      </w:r>
    </w:p>
    <w:p w14:paraId="2F91335C" w14:textId="77777777" w:rsidR="00000000" w:rsidRPr="0025534A" w:rsidRDefault="000B70A6">
      <w:pPr>
        <w:pStyle w:val="NormalText"/>
        <w:tabs>
          <w:tab w:val="left" w:pos="340"/>
        </w:tabs>
        <w:rPr>
          <w:rFonts w:ascii="Palatino Linotype" w:hAnsi="Palatino Linotype" w:cs="Palatino Linotype"/>
          <w:sz w:val="20"/>
          <w:szCs w:val="20"/>
        </w:rPr>
      </w:pPr>
    </w:p>
    <w:p w14:paraId="706C21CB" w14:textId="77777777" w:rsidR="00000000" w:rsidRPr="0025534A" w:rsidRDefault="000B70A6">
      <w:pPr>
        <w:pStyle w:val="NormalText"/>
        <w:tabs>
          <w:tab w:val="left" w:pos="340"/>
        </w:tabs>
        <w:rPr>
          <w:rFonts w:ascii="Palatino Linotype" w:hAnsi="Palatino Linotype" w:cs="Palatino Linotype"/>
          <w:sz w:val="20"/>
          <w:szCs w:val="20"/>
        </w:rPr>
      </w:pPr>
      <w:r w:rsidRPr="0025534A">
        <w:rPr>
          <w:rFonts w:ascii="Palatino Linotype" w:hAnsi="Palatino Linotype" w:cs="Palatino Linotype"/>
          <w:sz w:val="20"/>
          <w:szCs w:val="20"/>
        </w:rPr>
        <w:t>Similarity:</w:t>
      </w:r>
    </w:p>
    <w:p w14:paraId="7F594C9F" w14:textId="77777777" w:rsidR="00000000" w:rsidRPr="0025534A" w:rsidRDefault="000B70A6">
      <w:pPr>
        <w:pStyle w:val="NormalText"/>
        <w:tabs>
          <w:tab w:val="left" w:pos="340"/>
        </w:tabs>
        <w:rPr>
          <w:rFonts w:ascii="Palatino Linotype" w:hAnsi="Palatino Linotype" w:cs="Palatino Linotype"/>
          <w:sz w:val="20"/>
          <w:szCs w:val="20"/>
        </w:rPr>
      </w:pPr>
      <w:r w:rsidRPr="0025534A">
        <w:rPr>
          <w:rFonts w:ascii="Palatino Linotype" w:hAnsi="Palatino Linotype" w:cs="Palatino Linotype"/>
          <w:sz w:val="20"/>
          <w:szCs w:val="20"/>
        </w:rPr>
        <w:t>1)</w:t>
      </w:r>
      <w:r w:rsidRPr="0025534A">
        <w:rPr>
          <w:rFonts w:ascii="Palatino Linotype" w:hAnsi="Palatino Linotype" w:cs="Palatino Linotype"/>
          <w:sz w:val="20"/>
          <w:szCs w:val="20"/>
        </w:rPr>
        <w:tab/>
        <w:t>Regular and memorandum decisions have the same precedential value.</w:t>
      </w:r>
    </w:p>
    <w:p w14:paraId="1FDD74E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C:1-15 and C:1-17</w:t>
      </w:r>
    </w:p>
    <w:p w14:paraId="0DDADFF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20CDFD77" w14:textId="77777777" w:rsidR="00000000" w:rsidRPr="0025534A" w:rsidRDefault="000B70A6">
      <w:pPr>
        <w:pStyle w:val="NormalText"/>
        <w:rPr>
          <w:rFonts w:ascii="Palatino Linotype" w:hAnsi="Palatino Linotype"/>
          <w:sz w:val="20"/>
          <w:szCs w:val="20"/>
        </w:rPr>
      </w:pPr>
    </w:p>
    <w:p w14:paraId="02DFCB99"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19817AB3" w14:textId="23DA2590"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86) Assume that the Tax Court decided an expenditure in question was deductible. The government</w:t>
      </w:r>
      <w:r w:rsidRPr="0025534A">
        <w:rPr>
          <w:rFonts w:ascii="Palatino Linotype" w:hAnsi="Palatino Linotype" w:cs="Palatino Linotype"/>
          <w:sz w:val="20"/>
          <w:szCs w:val="20"/>
        </w:rPr>
        <w:t xml:space="preserve"> appealed to the Fifth Circuit, which reversed the decision and held it was not deductible. No other circuits have ruled on the issue.</w:t>
      </w:r>
    </w:p>
    <w:p w14:paraId="174CEEE9" w14:textId="77777777" w:rsidR="00000000" w:rsidRPr="0025534A" w:rsidRDefault="000B70A6">
      <w:pPr>
        <w:pStyle w:val="NormalText"/>
        <w:rPr>
          <w:rFonts w:ascii="Palatino Linotype" w:hAnsi="Palatino Linotype" w:cs="Palatino Linotype"/>
          <w:sz w:val="20"/>
          <w:szCs w:val="20"/>
        </w:rPr>
      </w:pPr>
    </w:p>
    <w:p w14:paraId="7D7617D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new case has just been filed in the Tax Court. How will the Tax Court rule if this new case is appealable to the Tenth</w:t>
      </w:r>
      <w:r w:rsidRPr="0025534A">
        <w:rPr>
          <w:rFonts w:ascii="Palatino Linotype" w:hAnsi="Palatino Linotype" w:cs="Palatino Linotype"/>
          <w:sz w:val="20"/>
          <w:szCs w:val="20"/>
        </w:rPr>
        <w:t xml:space="preserve"> Circuit? Would your answer be different if the case was appealable to the Fifth Circuit?</w:t>
      </w:r>
    </w:p>
    <w:p w14:paraId="367E747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The </w:t>
      </w:r>
      <w:r w:rsidRPr="0025534A">
        <w:rPr>
          <w:rFonts w:ascii="Palatino Linotype" w:hAnsi="Palatino Linotype" w:cs="Palatino Linotype"/>
          <w:sz w:val="20"/>
          <w:szCs w:val="20"/>
          <w:u w:val="single"/>
        </w:rPr>
        <w:t>Golsen</w:t>
      </w:r>
      <w:r w:rsidRPr="0025534A">
        <w:rPr>
          <w:rFonts w:ascii="Palatino Linotype" w:hAnsi="Palatino Linotype" w:cs="Palatino Linotype"/>
          <w:sz w:val="20"/>
          <w:szCs w:val="20"/>
        </w:rPr>
        <w:t xml:space="preserve"> rule provides that the Tax Court rules consistently with decisions of the circuit court of appeals to which the taxpayer's case is appealable. If the new case is appealable to the Tenth Circuit, the Tax Court will hold the expenditure is deductible, there</w:t>
      </w:r>
      <w:r w:rsidRPr="0025534A">
        <w:rPr>
          <w:rFonts w:ascii="Palatino Linotype" w:hAnsi="Palatino Linotype" w:cs="Palatino Linotype"/>
          <w:sz w:val="20"/>
          <w:szCs w:val="20"/>
        </w:rPr>
        <w:t>by following its own precedent. In a case appealable to the Fifth Circuit, the Tax Court will rule that it is not deductible, thereby following the appellate court's earlier decision.</w:t>
      </w:r>
    </w:p>
    <w:p w14:paraId="2C46EAC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C:1-21</w:t>
      </w:r>
    </w:p>
    <w:p w14:paraId="37A8825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4</w:t>
      </w:r>
    </w:p>
    <w:p w14:paraId="569D4575" w14:textId="77777777" w:rsidR="00000000" w:rsidRPr="0025534A" w:rsidRDefault="000B70A6">
      <w:pPr>
        <w:pStyle w:val="NormalText"/>
        <w:rPr>
          <w:rFonts w:ascii="Palatino Linotype" w:hAnsi="Palatino Linotype"/>
          <w:sz w:val="20"/>
          <w:szCs w:val="20"/>
        </w:rPr>
      </w:pPr>
    </w:p>
    <w:p w14:paraId="6A7E6B06" w14:textId="77777777" w:rsidR="00000000" w:rsidRPr="003516ED" w:rsidRDefault="000B70A6">
      <w:pPr>
        <w:pStyle w:val="NormalText"/>
      </w:pPr>
      <w:r w:rsidRPr="003516ED">
        <w:t>LO5:  Tax Services</w:t>
      </w:r>
    </w:p>
    <w:p w14:paraId="0EDCB700" w14:textId="77777777" w:rsidR="00000000" w:rsidRPr="0025534A" w:rsidRDefault="000B70A6">
      <w:pPr>
        <w:pStyle w:val="NormalText"/>
        <w:rPr>
          <w:rFonts w:ascii="Palatino Linotype" w:hAnsi="Palatino Linotype"/>
          <w:sz w:val="20"/>
          <w:szCs w:val="20"/>
        </w:rPr>
      </w:pPr>
    </w:p>
    <w:p w14:paraId="44652B1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1) </w:t>
      </w:r>
      <w:r w:rsidRPr="0025534A">
        <w:rPr>
          <w:rFonts w:ascii="Palatino Linotype" w:hAnsi="Palatino Linotype" w:cs="Palatino Linotype"/>
          <w:sz w:val="20"/>
          <w:szCs w:val="20"/>
        </w:rPr>
        <w:t xml:space="preserve">Identify which of the following statements is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w:t>
      </w:r>
    </w:p>
    <w:p w14:paraId="783375C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RIA United States Tax Reporter and CCH Standard Federal Tax Reporter are topical tax services.</w:t>
      </w:r>
    </w:p>
    <w:p w14:paraId="693B7F9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An annotated tax service is organized by broad subject areas.</w:t>
      </w:r>
    </w:p>
    <w:p w14:paraId="2A9A5AD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Annotations are summaries of IRS prono</w:t>
      </w:r>
      <w:r w:rsidRPr="0025534A">
        <w:rPr>
          <w:rFonts w:ascii="Palatino Linotype" w:hAnsi="Palatino Linotype" w:cs="Palatino Linotype"/>
          <w:sz w:val="20"/>
          <w:szCs w:val="20"/>
        </w:rPr>
        <w:t>uncements and court opinions.</w:t>
      </w:r>
    </w:p>
    <w:p w14:paraId="7E9C7AB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All of the above are false.</w:t>
      </w:r>
    </w:p>
    <w:p w14:paraId="541BD12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4A33EB4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These are third party secondary authority.</w:t>
      </w:r>
    </w:p>
    <w:p w14:paraId="44D61DB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C:1-25</w:t>
      </w:r>
    </w:p>
    <w:p w14:paraId="653FF42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5</w:t>
      </w:r>
    </w:p>
    <w:p w14:paraId="6185D50E" w14:textId="77777777" w:rsidR="00000000" w:rsidRPr="0025534A" w:rsidRDefault="000B70A6">
      <w:pPr>
        <w:pStyle w:val="NormalText"/>
        <w:rPr>
          <w:rFonts w:ascii="Palatino Linotype" w:hAnsi="Palatino Linotype"/>
          <w:sz w:val="20"/>
          <w:szCs w:val="20"/>
        </w:rPr>
      </w:pPr>
    </w:p>
    <w:p w14:paraId="664B5AF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 Which tax service is usually deemed to be the most authoritative?</w:t>
      </w:r>
    </w:p>
    <w:p w14:paraId="73EDB09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United States Tax Rep</w:t>
      </w:r>
      <w:r w:rsidRPr="0025534A">
        <w:rPr>
          <w:rFonts w:ascii="Palatino Linotype" w:hAnsi="Palatino Linotype" w:cs="Palatino Linotype"/>
          <w:sz w:val="20"/>
          <w:szCs w:val="20"/>
        </w:rPr>
        <w:t>orter</w:t>
      </w:r>
    </w:p>
    <w:p w14:paraId="009D4CA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Standard Federal Tax Reporter</w:t>
      </w:r>
    </w:p>
    <w:p w14:paraId="2D937A5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Federal Tax Coordinator 2d</w:t>
      </w:r>
    </w:p>
    <w:p w14:paraId="0DCA22B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All are equally authoritative.</w:t>
      </w:r>
    </w:p>
    <w:p w14:paraId="1EA3BA0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0A23E54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All are published federal registers.</w:t>
      </w:r>
    </w:p>
    <w:p w14:paraId="1E1F073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C:1-25</w:t>
      </w:r>
    </w:p>
    <w:p w14:paraId="27643F8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5</w:t>
      </w:r>
    </w:p>
    <w:p w14:paraId="4BE4FF62" w14:textId="77777777" w:rsidR="00000000" w:rsidRPr="0025534A" w:rsidRDefault="000B70A6">
      <w:pPr>
        <w:pStyle w:val="NormalText"/>
        <w:rPr>
          <w:rFonts w:ascii="Palatino Linotype" w:hAnsi="Palatino Linotype"/>
          <w:sz w:val="20"/>
          <w:szCs w:val="20"/>
        </w:rPr>
      </w:pPr>
    </w:p>
    <w:p w14:paraId="2B2627A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3) Distinguish between an annotated tax service and a top</w:t>
      </w:r>
      <w:r w:rsidRPr="0025534A">
        <w:rPr>
          <w:rFonts w:ascii="Palatino Linotype" w:hAnsi="Palatino Linotype" w:cs="Palatino Linotype"/>
          <w:sz w:val="20"/>
          <w:szCs w:val="20"/>
        </w:rPr>
        <w:t>ical tax service.</w:t>
      </w:r>
    </w:p>
    <w:p w14:paraId="71CD34E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An annotated tax service is organized by IRC section. The IRC-arranged subdivisions of this service are likely to encompass several topics. A topical tax service is organized by broad topic. The topically arranged subdivisions of</w:t>
      </w:r>
      <w:r w:rsidRPr="0025534A">
        <w:rPr>
          <w:rFonts w:ascii="Palatino Linotype" w:hAnsi="Palatino Linotype" w:cs="Palatino Linotype"/>
          <w:sz w:val="20"/>
          <w:szCs w:val="20"/>
        </w:rPr>
        <w:t xml:space="preserve"> this service are likely to encompass several IRC sections.</w:t>
      </w:r>
    </w:p>
    <w:p w14:paraId="68732A9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C:1-25</w:t>
      </w:r>
    </w:p>
    <w:p w14:paraId="2536481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5</w:t>
      </w:r>
    </w:p>
    <w:p w14:paraId="2E7759CB" w14:textId="77777777" w:rsidR="00000000" w:rsidRPr="0025534A" w:rsidRDefault="000B70A6">
      <w:pPr>
        <w:pStyle w:val="NormalText"/>
        <w:rPr>
          <w:rFonts w:ascii="Palatino Linotype" w:hAnsi="Palatino Linotype"/>
          <w:sz w:val="20"/>
          <w:szCs w:val="20"/>
        </w:rPr>
      </w:pPr>
    </w:p>
    <w:p w14:paraId="32A99809" w14:textId="77777777" w:rsidR="000B70A6" w:rsidRDefault="000B70A6">
      <w:pPr>
        <w:rPr>
          <w:rFonts w:ascii="Times New Roman" w:hAnsi="Times New Roman" w:cs="Times New Roman"/>
          <w:color w:val="000000"/>
          <w:sz w:val="24"/>
          <w:szCs w:val="24"/>
        </w:rPr>
      </w:pPr>
      <w:r>
        <w:br w:type="page"/>
      </w:r>
    </w:p>
    <w:p w14:paraId="33BC7B44" w14:textId="5E926E98" w:rsidR="00000000" w:rsidRPr="003516ED" w:rsidRDefault="000B70A6">
      <w:pPr>
        <w:pStyle w:val="NormalText"/>
      </w:pPr>
      <w:r w:rsidRPr="003516ED">
        <w:t>LO6:  The Internet as a Research Tool</w:t>
      </w:r>
    </w:p>
    <w:p w14:paraId="60D1B438" w14:textId="77777777" w:rsidR="00000000" w:rsidRPr="0025534A" w:rsidRDefault="000B70A6">
      <w:pPr>
        <w:pStyle w:val="NormalText"/>
        <w:rPr>
          <w:rFonts w:ascii="Palatino Linotype" w:hAnsi="Palatino Linotype"/>
          <w:sz w:val="20"/>
          <w:szCs w:val="20"/>
        </w:rPr>
      </w:pPr>
    </w:p>
    <w:p w14:paraId="67FBC45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 Internet versions of topical tax services include</w:t>
      </w:r>
    </w:p>
    <w:p w14:paraId="40A87BC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Code and Regulations.</w:t>
      </w:r>
    </w:p>
    <w:p w14:paraId="1AA134E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B) </w:t>
      </w:r>
      <w:r w:rsidRPr="0025534A">
        <w:rPr>
          <w:rFonts w:ascii="Palatino Linotype" w:hAnsi="Palatino Linotype" w:cs="Palatino Linotype"/>
          <w:sz w:val="20"/>
          <w:szCs w:val="20"/>
        </w:rPr>
        <w:t>Revenue rulings, letter rulings, and revenue procedures.</w:t>
      </w:r>
    </w:p>
    <w:p w14:paraId="3577FAF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Court cases involving tax issues.</w:t>
      </w:r>
    </w:p>
    <w:p w14:paraId="56E4405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All of the above.</w:t>
      </w:r>
    </w:p>
    <w:p w14:paraId="0D84CBD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3A8D554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Primary and secondary authorities are available online.</w:t>
      </w:r>
    </w:p>
    <w:p w14:paraId="5B0D013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C:1-26</w:t>
      </w:r>
    </w:p>
    <w:p w14:paraId="1CF3BFC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6</w:t>
      </w:r>
    </w:p>
    <w:p w14:paraId="4E11A669" w14:textId="77777777" w:rsidR="00000000" w:rsidRPr="0025534A" w:rsidRDefault="000B70A6">
      <w:pPr>
        <w:pStyle w:val="NormalText"/>
        <w:rPr>
          <w:rFonts w:ascii="Palatino Linotype" w:hAnsi="Palatino Linotype"/>
          <w:sz w:val="20"/>
          <w:szCs w:val="20"/>
        </w:rPr>
      </w:pPr>
    </w:p>
    <w:p w14:paraId="1629F7E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 In list form, outline t</w:t>
      </w:r>
      <w:r w:rsidRPr="0025534A">
        <w:rPr>
          <w:rFonts w:ascii="Palatino Linotype" w:hAnsi="Palatino Linotype" w:cs="Palatino Linotype"/>
          <w:sz w:val="20"/>
          <w:szCs w:val="20"/>
        </w:rPr>
        <w:t>he steps to follow when using a tax service.</w:t>
      </w:r>
    </w:p>
    <w:p w14:paraId="49AB4CAC" w14:textId="77777777" w:rsidR="00604AF9" w:rsidRDefault="00604AF9">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Answer:</w:t>
      </w:r>
    </w:p>
    <w:p w14:paraId="6318A9D1" w14:textId="4BA937FA" w:rsidR="00000000" w:rsidRPr="0025534A" w:rsidRDefault="00604AF9">
      <w:pPr>
        <w:pStyle w:val="NormalText"/>
        <w:tabs>
          <w:tab w:val="left" w:pos="360"/>
        </w:tabs>
        <w:rPr>
          <w:rFonts w:ascii="Palatino Linotype" w:hAnsi="Palatino Linotype" w:cs="Palatino Linotype"/>
          <w:sz w:val="20"/>
          <w:szCs w:val="20"/>
        </w:rPr>
      </w:pPr>
      <w:r>
        <w:rPr>
          <w:rFonts w:ascii="Palatino Linotype" w:hAnsi="Palatino Linotype" w:cs="Palatino Linotype"/>
          <w:sz w:val="20"/>
          <w:szCs w:val="20"/>
        </w:rPr>
        <w:t>1)</w:t>
      </w:r>
      <w:r w:rsidR="000B70A6" w:rsidRPr="0025534A">
        <w:rPr>
          <w:rFonts w:ascii="Palatino Linotype" w:hAnsi="Palatino Linotype" w:cs="Palatino Linotype"/>
          <w:sz w:val="20"/>
          <w:szCs w:val="20"/>
        </w:rPr>
        <w:tab/>
        <w:t>Use a key word search.</w:t>
      </w:r>
    </w:p>
    <w:p w14:paraId="4437A0A6"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2)</w:t>
      </w:r>
      <w:r w:rsidRPr="0025534A">
        <w:rPr>
          <w:rFonts w:ascii="Palatino Linotype" w:hAnsi="Palatino Linotype" w:cs="Palatino Linotype"/>
          <w:sz w:val="20"/>
          <w:szCs w:val="20"/>
        </w:rPr>
        <w:tab/>
        <w:t>Read the applicable material.</w:t>
      </w:r>
    </w:p>
    <w:p w14:paraId="251AE576"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3)</w:t>
      </w:r>
      <w:r w:rsidRPr="0025534A">
        <w:rPr>
          <w:rFonts w:ascii="Palatino Linotype" w:hAnsi="Palatino Linotype" w:cs="Palatino Linotype"/>
          <w:sz w:val="20"/>
          <w:szCs w:val="20"/>
        </w:rPr>
        <w:tab/>
        <w:t>Check the supplementary (current developments) material.</w:t>
      </w:r>
    </w:p>
    <w:p w14:paraId="13E19B97"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4)</w:t>
      </w:r>
      <w:r w:rsidRPr="0025534A">
        <w:rPr>
          <w:rFonts w:ascii="Palatino Linotype" w:hAnsi="Palatino Linotype" w:cs="Palatino Linotype"/>
          <w:sz w:val="20"/>
          <w:szCs w:val="20"/>
        </w:rPr>
        <w:tab/>
        <w:t>Read the cases and rulings referenced in the database.</w:t>
      </w:r>
    </w:p>
    <w:p w14:paraId="511A9A6A"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5)</w:t>
      </w:r>
      <w:r w:rsidRPr="0025534A">
        <w:rPr>
          <w:rFonts w:ascii="Palatino Linotype" w:hAnsi="Palatino Linotype" w:cs="Palatino Linotype"/>
          <w:sz w:val="20"/>
          <w:szCs w:val="20"/>
        </w:rPr>
        <w:tab/>
        <w:t>Use a citator to deter</w:t>
      </w:r>
      <w:r w:rsidRPr="0025534A">
        <w:rPr>
          <w:rFonts w:ascii="Palatino Linotype" w:hAnsi="Palatino Linotype" w:cs="Palatino Linotype"/>
          <w:sz w:val="20"/>
          <w:szCs w:val="20"/>
        </w:rPr>
        <w:t>mine the current status of the relevant cases and rulings and if there are any additional cases and rulings.</w:t>
      </w:r>
    </w:p>
    <w:p w14:paraId="04A2B4F2"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6)</w:t>
      </w:r>
      <w:r w:rsidRPr="0025534A">
        <w:rPr>
          <w:rFonts w:ascii="Palatino Linotype" w:hAnsi="Palatino Linotype" w:cs="Palatino Linotype"/>
          <w:sz w:val="20"/>
          <w:szCs w:val="20"/>
        </w:rPr>
        <w:tab/>
        <w:t>Analyze the information; make analogies and reach a conclusion.</w:t>
      </w:r>
    </w:p>
    <w:p w14:paraId="7104529F"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7)</w:t>
      </w:r>
      <w:r w:rsidRPr="0025534A">
        <w:rPr>
          <w:rFonts w:ascii="Palatino Linotype" w:hAnsi="Palatino Linotype" w:cs="Palatino Linotype"/>
          <w:sz w:val="20"/>
          <w:szCs w:val="20"/>
        </w:rPr>
        <w:tab/>
        <w:t>Communicate the conclusions to the client.</w:t>
      </w:r>
    </w:p>
    <w:p w14:paraId="4DE28C21" w14:textId="77777777" w:rsidR="00000000" w:rsidRPr="0025534A" w:rsidRDefault="000B70A6">
      <w:pPr>
        <w:pStyle w:val="NormalText"/>
        <w:tabs>
          <w:tab w:val="left" w:pos="360"/>
        </w:tabs>
        <w:rPr>
          <w:rFonts w:ascii="Palatino Linotype" w:hAnsi="Palatino Linotype" w:cs="Palatino Linotype"/>
          <w:sz w:val="20"/>
          <w:szCs w:val="20"/>
        </w:rPr>
      </w:pPr>
      <w:r w:rsidRPr="0025534A">
        <w:rPr>
          <w:rFonts w:ascii="Palatino Linotype" w:hAnsi="Palatino Linotype" w:cs="Palatino Linotype"/>
          <w:sz w:val="20"/>
          <w:szCs w:val="20"/>
        </w:rPr>
        <w:t>8)</w:t>
      </w:r>
      <w:r w:rsidRPr="0025534A">
        <w:rPr>
          <w:rFonts w:ascii="Palatino Linotype" w:hAnsi="Palatino Linotype" w:cs="Palatino Linotype"/>
          <w:sz w:val="20"/>
          <w:szCs w:val="20"/>
        </w:rPr>
        <w:tab/>
        <w:t>Refine the issues and perhaps r</w:t>
      </w:r>
      <w:r w:rsidRPr="0025534A">
        <w:rPr>
          <w:rFonts w:ascii="Palatino Linotype" w:hAnsi="Palatino Linotype" w:cs="Palatino Linotype"/>
          <w:sz w:val="20"/>
          <w:szCs w:val="20"/>
        </w:rPr>
        <w:t>eturn to step 1.</w:t>
      </w:r>
    </w:p>
    <w:p w14:paraId="0726BD4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C:1-27</w:t>
      </w:r>
    </w:p>
    <w:p w14:paraId="74375CB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6</w:t>
      </w:r>
    </w:p>
    <w:p w14:paraId="0AEC230F" w14:textId="77777777" w:rsidR="00000000" w:rsidRPr="0025534A" w:rsidRDefault="000B70A6">
      <w:pPr>
        <w:pStyle w:val="NormalText"/>
        <w:rPr>
          <w:rFonts w:ascii="Palatino Linotype" w:hAnsi="Palatino Linotype"/>
          <w:sz w:val="20"/>
          <w:szCs w:val="20"/>
        </w:rPr>
      </w:pPr>
    </w:p>
    <w:p w14:paraId="2009BCCF" w14:textId="77777777" w:rsidR="00000000" w:rsidRPr="003516ED" w:rsidRDefault="000B70A6">
      <w:pPr>
        <w:pStyle w:val="NormalText"/>
      </w:pPr>
      <w:r w:rsidRPr="003516ED">
        <w:t>LO7:  Citators</w:t>
      </w:r>
    </w:p>
    <w:p w14:paraId="309D1A2E" w14:textId="77777777" w:rsidR="00000000" w:rsidRPr="0025534A" w:rsidRDefault="000B70A6">
      <w:pPr>
        <w:pStyle w:val="NormalText"/>
        <w:rPr>
          <w:rFonts w:ascii="Palatino Linotype" w:hAnsi="Palatino Linotype"/>
          <w:sz w:val="20"/>
          <w:szCs w:val="20"/>
        </w:rPr>
      </w:pPr>
    </w:p>
    <w:p w14:paraId="16022D6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1) </w:t>
      </w:r>
      <w:r w:rsidRPr="0025534A">
        <w:rPr>
          <w:rFonts w:ascii="Palatino Linotype" w:hAnsi="Palatino Linotype" w:cs="Palatino Linotype"/>
          <w:sz w:val="20"/>
          <w:szCs w:val="20"/>
        </w:rPr>
        <w:t>A citator enables tax researchers to locate authorities (e.g., cases and IRS pronouncements) that have cited a particular case.</w:t>
      </w:r>
    </w:p>
    <w:p w14:paraId="6C94A85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TRUE</w:t>
      </w:r>
    </w:p>
    <w:p w14:paraId="1E0A652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Citators allow quick reference to the material.</w:t>
      </w:r>
    </w:p>
    <w:p w14:paraId="0FD82DEB"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C:1-30</w:t>
      </w:r>
    </w:p>
    <w:p w14:paraId="7366372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7</w:t>
      </w:r>
    </w:p>
    <w:p w14:paraId="335FE35C" w14:textId="77777777" w:rsidR="00000000" w:rsidRPr="0025534A" w:rsidRDefault="000B70A6">
      <w:pPr>
        <w:pStyle w:val="NormalText"/>
        <w:rPr>
          <w:rFonts w:ascii="Palatino Linotype" w:hAnsi="Palatino Linotype"/>
          <w:sz w:val="20"/>
          <w:szCs w:val="20"/>
        </w:rPr>
      </w:pPr>
    </w:p>
    <w:p w14:paraId="00A21FC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2) Assume that you</w:t>
      </w:r>
      <w:r w:rsidRPr="0025534A">
        <w:rPr>
          <w:rFonts w:ascii="Palatino Linotype" w:hAnsi="Palatino Linotype" w:cs="Palatino Linotype"/>
          <w:sz w:val="20"/>
          <w:szCs w:val="20"/>
        </w:rPr>
        <w:t xml:space="preserve"> want to read a description of a particular area of the law, along with one or more illustrations of how that law is applied. You will </w:t>
      </w:r>
      <w:r w:rsidRPr="0025534A">
        <w:rPr>
          <w:rFonts w:ascii="Palatino Linotype" w:hAnsi="Palatino Linotype" w:cs="Palatino Linotype"/>
          <w:sz w:val="20"/>
          <w:szCs w:val="20"/>
          <w:u w:val="single"/>
        </w:rPr>
        <w:t>not</w:t>
      </w:r>
      <w:r w:rsidRPr="0025534A">
        <w:rPr>
          <w:rFonts w:ascii="Palatino Linotype" w:hAnsi="Palatino Linotype" w:cs="Palatino Linotype"/>
          <w:sz w:val="20"/>
          <w:szCs w:val="20"/>
        </w:rPr>
        <w:t xml:space="preserve"> find that type of material in</w:t>
      </w:r>
    </w:p>
    <w:p w14:paraId="66AB047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a citator.</w:t>
      </w:r>
    </w:p>
    <w:p w14:paraId="49D63E6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Treasury Regulations.</w:t>
      </w:r>
    </w:p>
    <w:p w14:paraId="3B24516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C) the </w:t>
      </w:r>
      <w:r w:rsidRPr="0025534A">
        <w:rPr>
          <w:rFonts w:ascii="Palatino Linotype" w:hAnsi="Palatino Linotype" w:cs="Palatino Linotype"/>
          <w:sz w:val="20"/>
          <w:szCs w:val="20"/>
          <w:u w:val="single"/>
        </w:rPr>
        <w:t>Cumulative Bulletin</w:t>
      </w:r>
      <w:r w:rsidRPr="0025534A">
        <w:rPr>
          <w:rFonts w:ascii="Palatino Linotype" w:hAnsi="Palatino Linotype" w:cs="Palatino Linotype"/>
          <w:sz w:val="20"/>
          <w:szCs w:val="20"/>
        </w:rPr>
        <w:t>.</w:t>
      </w:r>
    </w:p>
    <w:p w14:paraId="7B52C1E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the Committee</w:t>
      </w:r>
      <w:r w:rsidRPr="0025534A">
        <w:rPr>
          <w:rFonts w:ascii="Palatino Linotype" w:hAnsi="Palatino Linotype" w:cs="Palatino Linotype"/>
          <w:sz w:val="20"/>
          <w:szCs w:val="20"/>
        </w:rPr>
        <w:t xml:space="preserve"> Reports.</w:t>
      </w:r>
    </w:p>
    <w:p w14:paraId="30E6196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0668835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Citators do not provide explanations.</w:t>
      </w:r>
    </w:p>
    <w:p w14:paraId="72829589"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C:1-30</w:t>
      </w:r>
    </w:p>
    <w:p w14:paraId="16AFA42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7</w:t>
      </w:r>
    </w:p>
    <w:p w14:paraId="6B3A327A" w14:textId="77777777" w:rsidR="00000000" w:rsidRPr="0025534A" w:rsidRDefault="000B70A6">
      <w:pPr>
        <w:pStyle w:val="NormalText"/>
        <w:rPr>
          <w:rFonts w:ascii="Palatino Linotype" w:hAnsi="Palatino Linotype"/>
          <w:sz w:val="20"/>
          <w:szCs w:val="20"/>
        </w:rPr>
      </w:pPr>
    </w:p>
    <w:p w14:paraId="6DB91386"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32AF743F" w14:textId="2F3A6172"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3) Why does a researcher use a citator?</w:t>
      </w:r>
    </w:p>
    <w:p w14:paraId="100B6D8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to check on authorities issued subsequent to a court decision</w:t>
      </w:r>
    </w:p>
    <w:p w14:paraId="2175A95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to determine whether a private letter rul</w:t>
      </w:r>
      <w:r w:rsidRPr="0025534A">
        <w:rPr>
          <w:rFonts w:ascii="Palatino Linotype" w:hAnsi="Palatino Linotype" w:cs="Palatino Linotype"/>
          <w:sz w:val="20"/>
          <w:szCs w:val="20"/>
        </w:rPr>
        <w:t>ing exists on the subject</w:t>
      </w:r>
    </w:p>
    <w:p w14:paraId="39ED30A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for examples of the application of a tax provision</w:t>
      </w:r>
    </w:p>
    <w:p w14:paraId="5B70B1F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none of the above</w:t>
      </w:r>
    </w:p>
    <w:p w14:paraId="0D6914A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1349E0B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Citators allow research determine if case is referenced other places.</w:t>
      </w:r>
    </w:p>
    <w:p w14:paraId="143DF5F1"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C:1-30</w:t>
      </w:r>
    </w:p>
    <w:p w14:paraId="2810D9E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7</w:t>
      </w:r>
    </w:p>
    <w:p w14:paraId="2983FAA3" w14:textId="77777777" w:rsidR="00000000" w:rsidRPr="0025534A" w:rsidRDefault="000B70A6">
      <w:pPr>
        <w:pStyle w:val="NormalText"/>
        <w:rPr>
          <w:rFonts w:ascii="Palatino Linotype" w:hAnsi="Palatino Linotype"/>
          <w:sz w:val="20"/>
          <w:szCs w:val="20"/>
        </w:rPr>
      </w:pPr>
    </w:p>
    <w:p w14:paraId="47330DE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4) A citator is used to fi</w:t>
      </w:r>
      <w:r w:rsidRPr="0025534A">
        <w:rPr>
          <w:rFonts w:ascii="Palatino Linotype" w:hAnsi="Palatino Linotype" w:cs="Palatino Linotype"/>
          <w:sz w:val="20"/>
          <w:szCs w:val="20"/>
        </w:rPr>
        <w:t>nd</w:t>
      </w:r>
    </w:p>
    <w:p w14:paraId="0CA8B30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the judicial history of a case.</w:t>
      </w:r>
    </w:p>
    <w:p w14:paraId="3EE8ED2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cases that have cited a case subsequent to the issuance of the opinion.</w:t>
      </w:r>
    </w:p>
    <w:p w14:paraId="08DEFAA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whether a case has been overturned.</w:t>
      </w:r>
    </w:p>
    <w:p w14:paraId="6D430B2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all of the above.</w:t>
      </w:r>
    </w:p>
    <w:p w14:paraId="400F7DE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2D5E03A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w:t>
      </w:r>
      <w:r w:rsidRPr="0025534A">
        <w:rPr>
          <w:rFonts w:ascii="Palatino Linotype" w:hAnsi="Palatino Linotype" w:cs="Palatino Linotype"/>
          <w:sz w:val="20"/>
          <w:szCs w:val="20"/>
        </w:rPr>
        <w:t>Citators show history, if cited other places and if still good law.</w:t>
      </w:r>
    </w:p>
    <w:p w14:paraId="0ABFC7E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C:1-30</w:t>
      </w:r>
    </w:p>
    <w:p w14:paraId="7A64003D"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7</w:t>
      </w:r>
    </w:p>
    <w:p w14:paraId="696A2DE0" w14:textId="77777777" w:rsidR="00000000" w:rsidRPr="0025534A" w:rsidRDefault="000B70A6">
      <w:pPr>
        <w:pStyle w:val="NormalText"/>
        <w:rPr>
          <w:rFonts w:ascii="Palatino Linotype" w:hAnsi="Palatino Linotype"/>
          <w:sz w:val="20"/>
          <w:szCs w:val="20"/>
        </w:rPr>
      </w:pPr>
    </w:p>
    <w:p w14:paraId="296EE52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5) What is the minimum information that should be contained in a citation?</w:t>
      </w:r>
    </w:p>
    <w:p w14:paraId="1E5B0AC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 citation should contain, at a minimum, the name of the case, the rep</w:t>
      </w:r>
      <w:r w:rsidRPr="0025534A">
        <w:rPr>
          <w:rFonts w:ascii="Palatino Linotype" w:hAnsi="Palatino Linotype" w:cs="Palatino Linotype"/>
          <w:sz w:val="20"/>
          <w:szCs w:val="20"/>
        </w:rPr>
        <w:t>orter that publishes the case, a volume number, a page or paragraph number, the year the case was decided, and the court that decided the case.</w:t>
      </w:r>
    </w:p>
    <w:p w14:paraId="25B836F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C:1-30</w:t>
      </w:r>
    </w:p>
    <w:p w14:paraId="2720E1E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7</w:t>
      </w:r>
    </w:p>
    <w:p w14:paraId="3386CAF6" w14:textId="77777777" w:rsidR="00000000" w:rsidRPr="0025534A" w:rsidRDefault="000B70A6">
      <w:pPr>
        <w:pStyle w:val="NormalText"/>
        <w:rPr>
          <w:rFonts w:ascii="Palatino Linotype" w:hAnsi="Palatino Linotype"/>
          <w:sz w:val="20"/>
          <w:szCs w:val="20"/>
        </w:rPr>
      </w:pPr>
    </w:p>
    <w:p w14:paraId="5524FEC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6) What is the purpose of a citator?</w:t>
      </w:r>
    </w:p>
    <w:p w14:paraId="074E259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Citators give a history of the c</w:t>
      </w:r>
      <w:r w:rsidRPr="0025534A">
        <w:rPr>
          <w:rFonts w:ascii="Palatino Linotype" w:hAnsi="Palatino Linotype" w:cs="Palatino Linotype"/>
          <w:sz w:val="20"/>
          <w:szCs w:val="20"/>
        </w:rPr>
        <w:t>ase, and they list other authorities such as other cases or revenue rulings that cite the case in question.</w:t>
      </w:r>
    </w:p>
    <w:p w14:paraId="5C047515"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C:1-30</w:t>
      </w:r>
    </w:p>
    <w:p w14:paraId="320C8A0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7</w:t>
      </w:r>
    </w:p>
    <w:p w14:paraId="26193CB7" w14:textId="77777777" w:rsidR="00000000" w:rsidRPr="0025534A" w:rsidRDefault="000B70A6">
      <w:pPr>
        <w:pStyle w:val="NormalText"/>
        <w:rPr>
          <w:rFonts w:ascii="Palatino Linotype" w:hAnsi="Palatino Linotype"/>
          <w:sz w:val="20"/>
          <w:szCs w:val="20"/>
        </w:rPr>
      </w:pPr>
    </w:p>
    <w:p w14:paraId="313AF519" w14:textId="77777777" w:rsidR="00000000" w:rsidRPr="003516ED" w:rsidRDefault="000B70A6">
      <w:pPr>
        <w:pStyle w:val="NormalText"/>
      </w:pPr>
      <w:r w:rsidRPr="003516ED">
        <w:t>LO8:  Professional Guidelines for Tax Services</w:t>
      </w:r>
    </w:p>
    <w:p w14:paraId="3DD997E6" w14:textId="77777777" w:rsidR="00000000" w:rsidRPr="0025534A" w:rsidRDefault="000B70A6">
      <w:pPr>
        <w:pStyle w:val="NormalText"/>
        <w:rPr>
          <w:rFonts w:ascii="Palatino Linotype" w:hAnsi="Palatino Linotype"/>
          <w:sz w:val="20"/>
          <w:szCs w:val="20"/>
        </w:rPr>
      </w:pPr>
    </w:p>
    <w:p w14:paraId="5FA527E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1) According to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CPAs</w:t>
      </w:r>
      <w:r w:rsidRPr="0025534A">
        <w:rPr>
          <w:rFonts w:ascii="Palatino Linotype" w:hAnsi="Palatino Linotype" w:cs="Palatino Linotype"/>
          <w:sz w:val="20"/>
          <w:szCs w:val="20"/>
        </w:rPr>
        <w:t xml:space="preserve"> must verify all tax return information submitted by reviewing client documentation.</w:t>
      </w:r>
    </w:p>
    <w:p w14:paraId="5DF8781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FALSE</w:t>
      </w:r>
    </w:p>
    <w:p w14:paraId="202527B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The CPA may in good faith rely on information provided by the taxpayer, without verifying the reliability of that information if reasonable in</w:t>
      </w:r>
      <w:r w:rsidRPr="0025534A">
        <w:rPr>
          <w:rFonts w:ascii="Palatino Linotype" w:hAnsi="Palatino Linotype" w:cs="Palatino Linotype"/>
          <w:sz w:val="20"/>
          <w:szCs w:val="20"/>
        </w:rPr>
        <w:t>quiries are made where the information furnished appears to be incorrect.</w:t>
      </w:r>
    </w:p>
    <w:p w14:paraId="4C72356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C:1-31</w:t>
      </w:r>
    </w:p>
    <w:p w14:paraId="5477B60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0F8E8C20" w14:textId="77777777" w:rsidR="00000000" w:rsidRPr="0025534A" w:rsidRDefault="000B70A6">
      <w:pPr>
        <w:pStyle w:val="NormalText"/>
        <w:rPr>
          <w:rFonts w:ascii="Palatino Linotype" w:hAnsi="Palatino Linotype"/>
          <w:sz w:val="20"/>
          <w:szCs w:val="20"/>
        </w:rPr>
      </w:pPr>
    </w:p>
    <w:p w14:paraId="549EC8FD"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6AA264D7" w14:textId="702EF5F6"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2) Which of the following statements about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xml:space="preserve"> is </w:t>
      </w:r>
      <w:r w:rsidRPr="0025534A">
        <w:rPr>
          <w:rFonts w:ascii="Palatino Linotype" w:hAnsi="Palatino Linotype" w:cs="Palatino Linotype"/>
          <w:sz w:val="20"/>
          <w:szCs w:val="20"/>
          <w:u w:val="single"/>
        </w:rPr>
        <w:t>true</w:t>
      </w:r>
      <w:r w:rsidRPr="0025534A">
        <w:rPr>
          <w:rFonts w:ascii="Palatino Linotype" w:hAnsi="Palatino Linotype" w:cs="Palatino Linotype"/>
          <w:sz w:val="20"/>
          <w:szCs w:val="20"/>
        </w:rPr>
        <w:t>?</w:t>
      </w:r>
    </w:p>
    <w:p w14:paraId="7303754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A CPA is never allowed to use a taxpayer's estim</w:t>
      </w:r>
      <w:r w:rsidRPr="0025534A">
        <w:rPr>
          <w:rFonts w:ascii="Palatino Linotype" w:hAnsi="Palatino Linotype" w:cs="Palatino Linotype"/>
          <w:sz w:val="20"/>
          <w:szCs w:val="20"/>
        </w:rPr>
        <w:t>ates when preparing a tax return.</w:t>
      </w:r>
    </w:p>
    <w:p w14:paraId="66B80C1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CPA must tell the IRS upon becoming aware that an error has been made on a past tax return.</w:t>
      </w:r>
    </w:p>
    <w:p w14:paraId="3DB40D8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CPA may in good faith rely on information provided by the taxpayer, without verifying the reliability of that inform</w:t>
      </w:r>
      <w:r w:rsidRPr="0025534A">
        <w:rPr>
          <w:rFonts w:ascii="Palatino Linotype" w:hAnsi="Palatino Linotype" w:cs="Palatino Linotype"/>
          <w:sz w:val="20"/>
          <w:szCs w:val="20"/>
        </w:rPr>
        <w:t>ation if reasonable inquiries are made where the information furnished appears to be incorrect.</w:t>
      </w:r>
    </w:p>
    <w:p w14:paraId="3F7862C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D) </w:t>
      </w:r>
      <w:r w:rsidRPr="0025534A">
        <w:rPr>
          <w:rFonts w:ascii="Palatino Linotype" w:hAnsi="Palatino Linotype" w:cs="Palatino Linotype"/>
          <w:sz w:val="20"/>
          <w:szCs w:val="20"/>
        </w:rPr>
        <w:t>The CPA should not recommend that a taxpayer take a certain position if there is any doubt as to whether the position would be approved by the IRS upon audit.</w:t>
      </w:r>
    </w:p>
    <w:p w14:paraId="0871C7C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100AF212"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The CPA may in good faith rely on information provided by the taxpayer, </w:t>
      </w:r>
      <w:r w:rsidRPr="0025534A">
        <w:rPr>
          <w:rFonts w:ascii="Palatino Linotype" w:hAnsi="Palatino Linotype" w:cs="Palatino Linotype"/>
          <w:sz w:val="20"/>
          <w:szCs w:val="20"/>
        </w:rPr>
        <w:t>without verifying the reliability of that information if reasonable inquiries are made where the information furnished appears to be incorrect.</w:t>
      </w:r>
    </w:p>
    <w:p w14:paraId="0EF553E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C:1-31 through C:1-33</w:t>
      </w:r>
    </w:p>
    <w:p w14:paraId="74A0F466"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5DCCD654" w14:textId="77777777" w:rsidR="00000000" w:rsidRPr="0025534A" w:rsidRDefault="000B70A6">
      <w:pPr>
        <w:pStyle w:val="NormalText"/>
        <w:rPr>
          <w:rFonts w:ascii="Palatino Linotype" w:hAnsi="Palatino Linotype"/>
          <w:sz w:val="20"/>
          <w:szCs w:val="20"/>
        </w:rPr>
      </w:pPr>
    </w:p>
    <w:p w14:paraId="1647364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3)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xml:space="preserve"> are issued by</w:t>
      </w:r>
    </w:p>
    <w:p w14:paraId="44FADD0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th</w:t>
      </w:r>
      <w:r w:rsidRPr="0025534A">
        <w:rPr>
          <w:rFonts w:ascii="Palatino Linotype" w:hAnsi="Palatino Linotype" w:cs="Palatino Linotype"/>
          <w:sz w:val="20"/>
          <w:szCs w:val="20"/>
        </w:rPr>
        <w:t>e SEC.</w:t>
      </w:r>
    </w:p>
    <w:p w14:paraId="66FDF9B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the IRS.</w:t>
      </w:r>
    </w:p>
    <w:p w14:paraId="386270D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the AICPA.</w:t>
      </w:r>
    </w:p>
    <w:p w14:paraId="3390F11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the FASB.</w:t>
      </w:r>
    </w:p>
    <w:p w14:paraId="5A7E675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3E4F0F81"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Explanation:  The AICPA issues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w:t>
      </w:r>
    </w:p>
    <w:p w14:paraId="7A12A9B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C:1-31</w:t>
      </w:r>
    </w:p>
    <w:p w14:paraId="3905DA3A"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3091A994" w14:textId="77777777" w:rsidR="00000000" w:rsidRPr="0025534A" w:rsidRDefault="000B70A6">
      <w:pPr>
        <w:pStyle w:val="NormalText"/>
        <w:rPr>
          <w:rFonts w:ascii="Palatino Linotype" w:hAnsi="Palatino Linotype"/>
          <w:sz w:val="20"/>
          <w:szCs w:val="20"/>
        </w:rPr>
      </w:pPr>
    </w:p>
    <w:p w14:paraId="5F2369A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4) A client wants to take a tax return position with less than a 10% probability of being up</w:t>
      </w:r>
      <w:r w:rsidRPr="0025534A">
        <w:rPr>
          <w:rFonts w:ascii="Palatino Linotype" w:hAnsi="Palatino Linotype" w:cs="Palatino Linotype"/>
          <w:sz w:val="20"/>
          <w:szCs w:val="20"/>
        </w:rPr>
        <w:t>held in court. The CPA should</w:t>
      </w:r>
    </w:p>
    <w:p w14:paraId="6C9A2D0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take the client's desired position, but not sign the tax return.</w:t>
      </w:r>
    </w:p>
    <w:p w14:paraId="71BE1FD6"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inform the client that the position does not have a realistic possibility of success.</w:t>
      </w:r>
    </w:p>
    <w:p w14:paraId="25D83AD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ask the client to sign a waiver of his right to sue the CPA in the</w:t>
      </w:r>
      <w:r w:rsidRPr="0025534A">
        <w:rPr>
          <w:rFonts w:ascii="Palatino Linotype" w:hAnsi="Palatino Linotype" w:cs="Palatino Linotype"/>
          <w:sz w:val="20"/>
          <w:szCs w:val="20"/>
        </w:rPr>
        <w:t xml:space="preserve"> event the IRS disallows the position.</w:t>
      </w:r>
    </w:p>
    <w:p w14:paraId="735746A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take the client's desired position and sign the return as usual.</w:t>
      </w:r>
    </w:p>
    <w:p w14:paraId="763ED6C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B</w:t>
      </w:r>
    </w:p>
    <w:p w14:paraId="63C357C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A CPA should inform a client the position does not have realistic change of success for tax return position with less than a</w:t>
      </w:r>
      <w:r w:rsidRPr="0025534A">
        <w:rPr>
          <w:rFonts w:ascii="Palatino Linotype" w:hAnsi="Palatino Linotype" w:cs="Palatino Linotype"/>
          <w:sz w:val="20"/>
          <w:szCs w:val="20"/>
        </w:rPr>
        <w:t xml:space="preserve"> 10% probability of being upheld in court. </w:t>
      </w:r>
    </w:p>
    <w:p w14:paraId="580C51E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C:1-31</w:t>
      </w:r>
    </w:p>
    <w:p w14:paraId="6BADE89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09C20B55" w14:textId="77777777" w:rsidR="00000000" w:rsidRPr="0025534A" w:rsidRDefault="000B70A6">
      <w:pPr>
        <w:pStyle w:val="NormalText"/>
        <w:rPr>
          <w:rFonts w:ascii="Palatino Linotype" w:hAnsi="Palatino Linotype"/>
          <w:sz w:val="20"/>
          <w:szCs w:val="20"/>
        </w:rPr>
      </w:pPr>
    </w:p>
    <w:p w14:paraId="6A9CD6DD"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7439812F" w14:textId="6A917E08"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5) According to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if a CPA believes that a client's prior-year tax return contains false information, the CPA should report this to th</w:t>
      </w:r>
      <w:r w:rsidRPr="0025534A">
        <w:rPr>
          <w:rFonts w:ascii="Palatino Linotype" w:hAnsi="Palatino Linotype" w:cs="Palatino Linotype"/>
          <w:sz w:val="20"/>
          <w:szCs w:val="20"/>
        </w:rPr>
        <w:t>e</w:t>
      </w:r>
    </w:p>
    <w:p w14:paraId="5D1DE8F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IRS.</w:t>
      </w:r>
    </w:p>
    <w:p w14:paraId="5F7E9C4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SEC.</w:t>
      </w:r>
    </w:p>
    <w:p w14:paraId="173F10A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AICPA.</w:t>
      </w:r>
    </w:p>
    <w:p w14:paraId="696E0EC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D) </w:t>
      </w:r>
      <w:r w:rsidRPr="0025534A">
        <w:rPr>
          <w:rFonts w:ascii="Palatino Linotype" w:hAnsi="Palatino Linotype" w:cs="Palatino Linotype"/>
          <w:sz w:val="20"/>
          <w:szCs w:val="20"/>
        </w:rPr>
        <w:t>None of the above. The CPA does not report the false information to any external agencies, unless required by law.</w:t>
      </w:r>
    </w:p>
    <w:p w14:paraId="3E3B13F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D</w:t>
      </w:r>
    </w:p>
    <w:p w14:paraId="7B7A7CE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The CPA does not report the false information to any external agencies, unless required by law.</w:t>
      </w:r>
    </w:p>
    <w:p w14:paraId="2516289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C:1-32 t</w:t>
      </w:r>
      <w:r w:rsidRPr="0025534A">
        <w:rPr>
          <w:rFonts w:ascii="Palatino Linotype" w:hAnsi="Palatino Linotype"/>
          <w:sz w:val="20"/>
          <w:szCs w:val="20"/>
        </w:rPr>
        <w:t>hrough C:1-33</w:t>
      </w:r>
    </w:p>
    <w:p w14:paraId="5E1F38B0"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6ECE94FF" w14:textId="77777777" w:rsidR="00000000" w:rsidRPr="0025534A" w:rsidRDefault="000B70A6">
      <w:pPr>
        <w:pStyle w:val="NormalText"/>
        <w:rPr>
          <w:rFonts w:ascii="Palatino Linotype" w:hAnsi="Palatino Linotype"/>
          <w:sz w:val="20"/>
          <w:szCs w:val="20"/>
        </w:rPr>
      </w:pPr>
    </w:p>
    <w:p w14:paraId="0636EB68"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6) Ralph's business records were lost as a result of Hurricane Katrina. CPA Jane prepares Ralph's return using estimates. What do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xml:space="preserve"> state about the use of estimates?</w:t>
      </w:r>
    </w:p>
    <w:p w14:paraId="03F1B67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Estimates may n</w:t>
      </w:r>
      <w:r w:rsidRPr="0025534A">
        <w:rPr>
          <w:rFonts w:ascii="Palatino Linotype" w:hAnsi="Palatino Linotype" w:cs="Palatino Linotype"/>
          <w:sz w:val="20"/>
          <w:szCs w:val="20"/>
        </w:rPr>
        <w:t>ot be used.</w:t>
      </w:r>
    </w:p>
    <w:p w14:paraId="6AF2E51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Estimates may be used without disclosing their use to the IRS.</w:t>
      </w:r>
    </w:p>
    <w:p w14:paraId="034AF9E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Estimates may be used, but Jane should disclose their use to the IRS.</w:t>
      </w:r>
    </w:p>
    <w:p w14:paraId="6E629B7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D)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xml:space="preserve"> do not address the use of estimates.</w:t>
      </w:r>
    </w:p>
    <w:p w14:paraId="57F3F290"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C</w:t>
      </w:r>
    </w:p>
    <w:p w14:paraId="44AD5B4C"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w:t>
      </w:r>
      <w:r w:rsidRPr="0025534A">
        <w:rPr>
          <w:rFonts w:ascii="Palatino Linotype" w:hAnsi="Palatino Linotype" w:cs="Palatino Linotype"/>
          <w:sz w:val="20"/>
          <w:szCs w:val="20"/>
        </w:rPr>
        <w:t>on:  Estimates may be used but must be disclosed to the IRS.</w:t>
      </w:r>
    </w:p>
    <w:p w14:paraId="49945C68"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C:1-32</w:t>
      </w:r>
    </w:p>
    <w:p w14:paraId="5BA9EDE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211894E1" w14:textId="77777777" w:rsidR="00000000" w:rsidRPr="0025534A" w:rsidRDefault="000B70A6">
      <w:pPr>
        <w:pStyle w:val="NormalText"/>
        <w:rPr>
          <w:rFonts w:ascii="Palatino Linotype" w:hAnsi="Palatino Linotype"/>
          <w:sz w:val="20"/>
          <w:szCs w:val="20"/>
        </w:rPr>
      </w:pPr>
    </w:p>
    <w:p w14:paraId="47144D09"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7) During the course of an audit, a CPA discovers an error in a prior return. According to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the CPA should</w:t>
      </w:r>
    </w:p>
    <w:p w14:paraId="70DC2F2E"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 ask th</w:t>
      </w:r>
      <w:r w:rsidRPr="0025534A">
        <w:rPr>
          <w:rFonts w:ascii="Palatino Linotype" w:hAnsi="Palatino Linotype" w:cs="Palatino Linotype"/>
          <w:sz w:val="20"/>
          <w:szCs w:val="20"/>
        </w:rPr>
        <w:t>e client for permission to disclose the error to the IRS.</w:t>
      </w:r>
    </w:p>
    <w:p w14:paraId="4A0ADA8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B) withdraw from the engagement.</w:t>
      </w:r>
    </w:p>
    <w:p w14:paraId="1D6ED074"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C) inform the IRS of the error, regardless of whether the client grants permission.</w:t>
      </w:r>
    </w:p>
    <w:p w14:paraId="3F3FB05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D) correct the error in the current year's tax return.</w:t>
      </w:r>
    </w:p>
    <w:p w14:paraId="095C7D95"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w:t>
      </w:r>
    </w:p>
    <w:p w14:paraId="3C4A624B"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Explanation:  C</w:t>
      </w:r>
      <w:r w:rsidRPr="0025534A">
        <w:rPr>
          <w:rFonts w:ascii="Palatino Linotype" w:hAnsi="Palatino Linotype" w:cs="Palatino Linotype"/>
          <w:sz w:val="20"/>
          <w:szCs w:val="20"/>
        </w:rPr>
        <w:t>PA must get permission.</w:t>
      </w:r>
    </w:p>
    <w:p w14:paraId="0CA9B4AF"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C:1-32 through C:1-33</w:t>
      </w:r>
    </w:p>
    <w:p w14:paraId="6585647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496BAFE6" w14:textId="77777777" w:rsidR="00000000" w:rsidRPr="0025534A" w:rsidRDefault="000B70A6">
      <w:pPr>
        <w:pStyle w:val="NormalText"/>
        <w:rPr>
          <w:rFonts w:ascii="Palatino Linotype" w:hAnsi="Palatino Linotype"/>
          <w:sz w:val="20"/>
          <w:szCs w:val="20"/>
        </w:rPr>
      </w:pPr>
    </w:p>
    <w:p w14:paraId="4347EAC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8) According to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what belief should a CPA have before taking a pro-taxpayer position on a tax return?</w:t>
      </w:r>
    </w:p>
    <w:p w14:paraId="39061D5F"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The CPA should have a good </w:t>
      </w:r>
      <w:r w:rsidRPr="0025534A">
        <w:rPr>
          <w:rFonts w:ascii="Palatino Linotype" w:hAnsi="Palatino Linotype" w:cs="Palatino Linotype"/>
          <w:sz w:val="20"/>
          <w:szCs w:val="20"/>
        </w:rPr>
        <w:t>faith belief that the pro-taxpayer position is warranted in existing law or can be supported by a good-faith argument for an extension, modification, or reversal of existing law. The position should have a realistic possibility of being sustained administr</w:t>
      </w:r>
      <w:r w:rsidRPr="0025534A">
        <w:rPr>
          <w:rFonts w:ascii="Palatino Linotype" w:hAnsi="Palatino Linotype" w:cs="Palatino Linotype"/>
          <w:sz w:val="20"/>
          <w:szCs w:val="20"/>
        </w:rPr>
        <w:t>atively or judicially on its merits if challenged.</w:t>
      </w:r>
    </w:p>
    <w:p w14:paraId="3AA199E2"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C:1-31</w:t>
      </w:r>
    </w:p>
    <w:p w14:paraId="64993AC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6571EA84" w14:textId="77777777" w:rsidR="00000000" w:rsidRPr="0025534A" w:rsidRDefault="000B70A6">
      <w:pPr>
        <w:pStyle w:val="NormalText"/>
        <w:rPr>
          <w:rFonts w:ascii="Palatino Linotype" w:hAnsi="Palatino Linotype"/>
          <w:sz w:val="20"/>
          <w:szCs w:val="20"/>
        </w:rPr>
      </w:pPr>
    </w:p>
    <w:p w14:paraId="7B2EC7D2" w14:textId="77777777" w:rsidR="000B70A6" w:rsidRDefault="000B70A6">
      <w:pPr>
        <w:rPr>
          <w:rFonts w:ascii="Palatino Linotype" w:hAnsi="Palatino Linotype" w:cs="Palatino Linotype"/>
          <w:color w:val="000000"/>
          <w:sz w:val="20"/>
          <w:szCs w:val="20"/>
        </w:rPr>
      </w:pPr>
      <w:r>
        <w:rPr>
          <w:rFonts w:ascii="Palatino Linotype" w:hAnsi="Palatino Linotype" w:cs="Palatino Linotype"/>
          <w:sz w:val="20"/>
          <w:szCs w:val="20"/>
        </w:rPr>
        <w:br w:type="page"/>
      </w:r>
    </w:p>
    <w:p w14:paraId="5E3EC98E" w14:textId="1DEBD3F3"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9)  According to the AICPA's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what duties does the tax practitioner owe the client?</w:t>
      </w:r>
    </w:p>
    <w:p w14:paraId="29C7333D"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 xml:space="preserve">Answer:  The tax practitioner owes the client the following duties: (1) to inform the client of (a) the potential adverse consequences of a tax return position, (b) how the client can avoid a penalty </w:t>
      </w:r>
      <w:r w:rsidRPr="0025534A">
        <w:rPr>
          <w:rFonts w:ascii="Palatino Linotype" w:hAnsi="Palatino Linotype" w:cs="Palatino Linotype"/>
          <w:sz w:val="20"/>
          <w:szCs w:val="20"/>
        </w:rPr>
        <w:t>through disclosure, (c) errors in a previously filed tax return, and (d) corrective measures to be taken; (2) to inquire of the client (a) when the client must satisfy conditions to take a deduction and (b) when information provided by him or her appears i</w:t>
      </w:r>
      <w:r w:rsidRPr="0025534A">
        <w:rPr>
          <w:rFonts w:ascii="Palatino Linotype" w:hAnsi="Palatino Linotype" w:cs="Palatino Linotype"/>
          <w:sz w:val="20"/>
          <w:szCs w:val="20"/>
        </w:rPr>
        <w:t>ncorrect, incomplete, or inconsistent on its face, and (3) not to disclose tax-related errors without the client's consent.</w:t>
      </w:r>
    </w:p>
    <w:p w14:paraId="5A057F27"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C:1-31 through C:1-33</w:t>
      </w:r>
    </w:p>
    <w:p w14:paraId="1FEBECC3"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38E6B667" w14:textId="77777777" w:rsidR="00000000" w:rsidRPr="0025534A" w:rsidRDefault="000B70A6">
      <w:pPr>
        <w:pStyle w:val="NormalText"/>
        <w:rPr>
          <w:rFonts w:ascii="Palatino Linotype" w:hAnsi="Palatino Linotype"/>
          <w:sz w:val="20"/>
          <w:szCs w:val="20"/>
        </w:rPr>
      </w:pPr>
    </w:p>
    <w:p w14:paraId="05F064C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10) Your client wants to deduct commuting expenses on his tax return. You explain t</w:t>
      </w:r>
      <w:r w:rsidRPr="0025534A">
        <w:rPr>
          <w:rFonts w:ascii="Palatino Linotype" w:hAnsi="Palatino Linotype" w:cs="Palatino Linotype"/>
          <w:sz w:val="20"/>
          <w:szCs w:val="20"/>
        </w:rPr>
        <w:t xml:space="preserve">o the client that there is no legal authority allowing this deduction. The client, however, continues to insist on this action. What guidance do the </w:t>
      </w:r>
      <w:r w:rsidRPr="0025534A">
        <w:rPr>
          <w:rFonts w:ascii="Palatino Linotype" w:hAnsi="Palatino Linotype" w:cs="Palatino Linotype"/>
          <w:sz w:val="20"/>
          <w:szCs w:val="20"/>
          <w:u w:val="single"/>
        </w:rPr>
        <w:t>Statements on Standards for Tax Services</w:t>
      </w:r>
      <w:r w:rsidRPr="0025534A">
        <w:rPr>
          <w:rFonts w:ascii="Palatino Linotype" w:hAnsi="Palatino Linotype" w:cs="Palatino Linotype"/>
          <w:sz w:val="20"/>
          <w:szCs w:val="20"/>
        </w:rPr>
        <w:t xml:space="preserve"> provide in this dilemma?</w:t>
      </w:r>
    </w:p>
    <w:p w14:paraId="725744EA"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According to Statement on Tax St</w:t>
      </w:r>
      <w:r w:rsidRPr="0025534A">
        <w:rPr>
          <w:rFonts w:ascii="Palatino Linotype" w:hAnsi="Palatino Linotype" w:cs="Palatino Linotype"/>
          <w:sz w:val="20"/>
          <w:szCs w:val="20"/>
        </w:rPr>
        <w:t>andards, the CPA should explain to the client that this action is a violation of the tax law and would trigger IRS penalties. If the client insists on the deduction, the CPA should consider withdrawing from the engagement.</w:t>
      </w:r>
    </w:p>
    <w:p w14:paraId="18FBB34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C:1-31 through C:1-33</w:t>
      </w:r>
    </w:p>
    <w:p w14:paraId="0B1A7934"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11A86668" w14:textId="77777777" w:rsidR="00000000" w:rsidRPr="0025534A" w:rsidRDefault="000B70A6">
      <w:pPr>
        <w:pStyle w:val="NormalText"/>
        <w:rPr>
          <w:rFonts w:ascii="Palatino Linotype" w:hAnsi="Palatino Linotype"/>
          <w:sz w:val="20"/>
          <w:szCs w:val="20"/>
        </w:rPr>
      </w:pPr>
    </w:p>
    <w:p w14:paraId="046D6533"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11) Discuss the conflict between advocacy for a client and responsibility to the IRS.</w:t>
      </w:r>
    </w:p>
    <w:p w14:paraId="73CFF897" w14:textId="77777777" w:rsidR="00000000" w:rsidRPr="0025534A" w:rsidRDefault="000B70A6">
      <w:pPr>
        <w:pStyle w:val="NormalText"/>
        <w:rPr>
          <w:rFonts w:ascii="Palatino Linotype" w:hAnsi="Palatino Linotype" w:cs="Palatino Linotype"/>
          <w:sz w:val="20"/>
          <w:szCs w:val="20"/>
        </w:rPr>
      </w:pPr>
      <w:r w:rsidRPr="0025534A">
        <w:rPr>
          <w:rFonts w:ascii="Palatino Linotype" w:hAnsi="Palatino Linotype" w:cs="Palatino Linotype"/>
          <w:sz w:val="20"/>
          <w:szCs w:val="20"/>
        </w:rPr>
        <w:t>Answer:  The CPA's primary duty is to his or her client, not the IRS. The CPA should provide quality advice based on sound legal authority. CPAs do not ha</w:t>
      </w:r>
      <w:r w:rsidRPr="0025534A">
        <w:rPr>
          <w:rFonts w:ascii="Palatino Linotype" w:hAnsi="Palatino Linotype" w:cs="Palatino Linotype"/>
          <w:sz w:val="20"/>
          <w:szCs w:val="20"/>
        </w:rPr>
        <w:t>ve to verify client data unless it appears inconsistent, erroneous, or incomplete. CPAs also are not required to report most potential tax law violations to the IRS. If a client refuses to correct a tax-related error, the CPA may terminate the relationship</w:t>
      </w:r>
      <w:r w:rsidRPr="0025534A">
        <w:rPr>
          <w:rFonts w:ascii="Palatino Linotype" w:hAnsi="Palatino Linotype" w:cs="Palatino Linotype"/>
          <w:sz w:val="20"/>
          <w:szCs w:val="20"/>
        </w:rPr>
        <w:t>.</w:t>
      </w:r>
    </w:p>
    <w:p w14:paraId="0C80B95C"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Page Ref.:  C:1-31 through C:1-33</w:t>
      </w:r>
    </w:p>
    <w:p w14:paraId="4153C5AE" w14:textId="77777777" w:rsidR="00000000" w:rsidRPr="0025534A" w:rsidRDefault="000B70A6">
      <w:pPr>
        <w:pStyle w:val="NormalText"/>
        <w:rPr>
          <w:rFonts w:ascii="Palatino Linotype" w:hAnsi="Palatino Linotype"/>
          <w:sz w:val="20"/>
          <w:szCs w:val="20"/>
        </w:rPr>
      </w:pPr>
      <w:r w:rsidRPr="0025534A">
        <w:rPr>
          <w:rFonts w:ascii="Palatino Linotype" w:hAnsi="Palatino Linotype"/>
          <w:sz w:val="20"/>
          <w:szCs w:val="20"/>
        </w:rPr>
        <w:t>Objective:  8</w:t>
      </w:r>
    </w:p>
    <w:p w14:paraId="45D37416" w14:textId="77777777" w:rsidR="00000000" w:rsidRPr="0025534A" w:rsidRDefault="000B70A6">
      <w:pPr>
        <w:pStyle w:val="NormalText"/>
        <w:rPr>
          <w:rFonts w:ascii="Palatino Linotype" w:hAnsi="Palatino Linotype"/>
          <w:sz w:val="20"/>
          <w:szCs w:val="20"/>
        </w:rPr>
      </w:pPr>
    </w:p>
    <w:p w14:paraId="5C193B98" w14:textId="77777777" w:rsidR="00000000" w:rsidRPr="003516ED" w:rsidRDefault="000B70A6">
      <w:pPr>
        <w:pStyle w:val="NormalText"/>
      </w:pPr>
      <w:r w:rsidRPr="003516ED">
        <w:t>LO9:  Sample Work Papers and Client Letter</w:t>
      </w:r>
    </w:p>
    <w:p w14:paraId="4F101A9F" w14:textId="77777777" w:rsidR="00000000" w:rsidRPr="0025534A" w:rsidRDefault="000B70A6">
      <w:pPr>
        <w:pStyle w:val="NormalText"/>
        <w:rPr>
          <w:rFonts w:ascii="Palatino Linotype" w:hAnsi="Palatino Linotype"/>
          <w:sz w:val="20"/>
          <w:szCs w:val="20"/>
        </w:rPr>
      </w:pPr>
    </w:p>
    <w:p w14:paraId="37DA2EE3" w14:textId="77777777" w:rsidR="00000000" w:rsidRPr="0025534A" w:rsidRDefault="000B70A6">
      <w:pPr>
        <w:pStyle w:val="NormalText"/>
        <w:spacing w:after="240"/>
        <w:rPr>
          <w:rFonts w:ascii="Palatino Linotype" w:hAnsi="Palatino Linotype"/>
          <w:sz w:val="20"/>
          <w:szCs w:val="20"/>
        </w:rPr>
      </w:pPr>
      <w:r w:rsidRPr="0025534A">
        <w:rPr>
          <w:rFonts w:ascii="Palatino Linotype" w:hAnsi="Palatino Linotype" w:cs="Palatino Linotype"/>
          <w:sz w:val="20"/>
          <w:szCs w:val="20"/>
        </w:rPr>
        <w:t>1) There are no questions for this section.</w:t>
      </w:r>
    </w:p>
    <w:sectPr w:rsidR="00000000" w:rsidRPr="0025534A">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36BE0" w14:textId="77777777" w:rsidR="0025534A" w:rsidRDefault="0025534A" w:rsidP="0025534A">
      <w:pPr>
        <w:spacing w:after="0" w:line="240" w:lineRule="auto"/>
      </w:pPr>
      <w:r>
        <w:separator/>
      </w:r>
    </w:p>
  </w:endnote>
  <w:endnote w:type="continuationSeparator" w:id="0">
    <w:p w14:paraId="25683534" w14:textId="77777777" w:rsidR="0025534A" w:rsidRDefault="0025534A" w:rsidP="00255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C745" w14:textId="77777777" w:rsidR="0025534A" w:rsidRPr="005B698E" w:rsidRDefault="0025534A" w:rsidP="0025534A">
    <w:pPr>
      <w:tabs>
        <w:tab w:val="center" w:pos="4680"/>
        <w:tab w:val="right" w:pos="9360"/>
      </w:tabs>
      <w:spacing w:after="0" w:line="276" w:lineRule="auto"/>
      <w:jc w:val="center"/>
      <w:rPr>
        <w:rFonts w:ascii="Times New Roman" w:hAnsi="Times New Roman"/>
        <w:sz w:val="20"/>
        <w:szCs w:val="20"/>
      </w:rPr>
    </w:pPr>
    <w:r w:rsidRPr="005B698E">
      <w:rPr>
        <w:rFonts w:ascii="Times New Roman" w:hAnsi="Times New Roman"/>
        <w:sz w:val="20"/>
        <w:szCs w:val="20"/>
      </w:rPr>
      <w:fldChar w:fldCharType="begin"/>
    </w:r>
    <w:r w:rsidRPr="005B698E">
      <w:rPr>
        <w:rFonts w:ascii="Times New Roman" w:hAnsi="Times New Roman"/>
        <w:sz w:val="20"/>
        <w:szCs w:val="20"/>
      </w:rPr>
      <w:instrText xml:space="preserve"> PAGE   \* MERGEFORMAT </w:instrText>
    </w:r>
    <w:r w:rsidRPr="005B698E">
      <w:rPr>
        <w:rFonts w:ascii="Times New Roman" w:hAnsi="Times New Roman"/>
        <w:sz w:val="20"/>
        <w:szCs w:val="20"/>
      </w:rPr>
      <w:fldChar w:fldCharType="separate"/>
    </w:r>
    <w:r>
      <w:rPr>
        <w:rFonts w:ascii="Times New Roman" w:hAnsi="Times New Roman"/>
        <w:sz w:val="20"/>
        <w:szCs w:val="20"/>
      </w:rPr>
      <w:t>1</w:t>
    </w:r>
    <w:r w:rsidRPr="005B698E">
      <w:rPr>
        <w:rFonts w:ascii="Times New Roman" w:hAnsi="Times New Roman"/>
        <w:sz w:val="20"/>
        <w:szCs w:val="20"/>
      </w:rPr>
      <w:fldChar w:fldCharType="end"/>
    </w:r>
  </w:p>
  <w:p w14:paraId="33D9B0E3" w14:textId="4A5A55F8" w:rsidR="0025534A" w:rsidRPr="0025534A" w:rsidRDefault="0025534A" w:rsidP="0025534A">
    <w:pPr>
      <w:pStyle w:val="Footer"/>
      <w:spacing w:after="0"/>
      <w:jc w:val="center"/>
      <w:rPr>
        <w:rFonts w:ascii="Times New Roman" w:hAnsi="Times New Roman"/>
        <w:sz w:val="20"/>
        <w:szCs w:val="20"/>
      </w:rPr>
    </w:pPr>
    <w:r w:rsidRPr="005B698E">
      <w:rPr>
        <w:rFonts w:ascii="Times New Roman" w:hAnsi="Times New Roman"/>
        <w:sz w:val="20"/>
        <w:szCs w:val="20"/>
      </w:rPr>
      <w:t>Copyright © 2023 Pearson Education,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4587" w14:textId="77777777" w:rsidR="0025534A" w:rsidRDefault="0025534A" w:rsidP="0025534A">
      <w:pPr>
        <w:spacing w:after="0" w:line="240" w:lineRule="auto"/>
      </w:pPr>
      <w:r>
        <w:separator/>
      </w:r>
    </w:p>
  </w:footnote>
  <w:footnote w:type="continuationSeparator" w:id="0">
    <w:p w14:paraId="3AC8F0C2" w14:textId="77777777" w:rsidR="0025534A" w:rsidRDefault="0025534A" w:rsidP="00255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34A"/>
    <w:rsid w:val="000B70A6"/>
    <w:rsid w:val="0025534A"/>
    <w:rsid w:val="003516ED"/>
    <w:rsid w:val="00604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6E707C"/>
  <w14:defaultImageDpi w14:val="0"/>
  <w15:docId w15:val="{451CCAD4-785C-446A-8996-56DBF92C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5534A"/>
    <w:pPr>
      <w:tabs>
        <w:tab w:val="center" w:pos="4680"/>
        <w:tab w:val="right" w:pos="9360"/>
      </w:tabs>
    </w:pPr>
  </w:style>
  <w:style w:type="character" w:customStyle="1" w:styleId="HeaderChar">
    <w:name w:val="Header Char"/>
    <w:basedOn w:val="DefaultParagraphFont"/>
    <w:link w:val="Header"/>
    <w:uiPriority w:val="99"/>
    <w:rsid w:val="0025534A"/>
  </w:style>
  <w:style w:type="paragraph" w:styleId="Footer">
    <w:name w:val="footer"/>
    <w:basedOn w:val="Normal"/>
    <w:link w:val="FooterChar"/>
    <w:uiPriority w:val="99"/>
    <w:unhideWhenUsed/>
    <w:rsid w:val="0025534A"/>
    <w:pPr>
      <w:tabs>
        <w:tab w:val="center" w:pos="4680"/>
        <w:tab w:val="right" w:pos="9360"/>
      </w:tabs>
    </w:pPr>
  </w:style>
  <w:style w:type="character" w:customStyle="1" w:styleId="FooterChar">
    <w:name w:val="Footer Char"/>
    <w:basedOn w:val="DefaultParagraphFont"/>
    <w:link w:val="Footer"/>
    <w:uiPriority w:val="99"/>
    <w:rsid w:val="00255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8568</Words>
  <Characters>44198</Characters>
  <Application>Microsoft Office Word</Application>
  <DocSecurity>0</DocSecurity>
  <Lines>368</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Hague</dc:creator>
  <cp:keywords/>
  <dc:description/>
  <cp:lastModifiedBy>Barbara Hague</cp:lastModifiedBy>
  <cp:revision>2</cp:revision>
  <dcterms:created xsi:type="dcterms:W3CDTF">2022-07-29T13:05:00Z</dcterms:created>
  <dcterms:modified xsi:type="dcterms:W3CDTF">2022-07-29T13:05:00Z</dcterms:modified>
</cp:coreProperties>
</file>